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c4587"/>
          <w:sz w:val="26"/>
          <w:szCs w:val="26"/>
        </w:rPr>
        <w:t xml:space="preserve">Universidad Nacional Abierta y a Distancia (UNAD)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Escuela de Ciencias Básicas, Tecnología e Ingeniería — ECBTI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Doctorado en Tecnologías de Información</w:t>
      </w:r>
    </w:p>
    <w:p>
      <w:pPr>
        <w:spacing w:after="120" w:before="600"/>
        <w:jc w:val="center"/>
      </w:pPr>
      <w:r>
        <w:rPr>
          <w:b/>
          <w:bCs/>
          <w:color w:val="1c4587"/>
          <w:sz w:val="40"/>
          <w:szCs w:val="40"/>
        </w:rPr>
        <w:t xml:space="preserve">PROTOCOLO METODOLÓGICO CUANTITATIVO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Plantilla · Ciclo 3 · Fase 3 — Semanas 13–16</w:t>
      </w:r>
    </w:p>
    <w:p>
      <w:pPr>
        <w:spacing w:after="40"/>
        <w:jc w:val="center"/>
      </w:pPr>
      <w:r>
        <w:rPr>
          <w:sz w:val="20"/>
          <w:szCs w:val="20"/>
        </w:rPr>
        <w:t xml:space="preserve">Entorno: Métodos Cuantitativos en Investigación · Código 203538899</w:t>
      </w:r>
    </w:p>
    <w:p>
      <w:pPr>
        <w:spacing w:after="800"/>
        <w:jc w:val="center"/>
      </w:pPr>
      <w:r>
        <w:rPr>
          <w:i/>
          <w:iCs/>
          <w:color w:val="595959"/>
          <w:sz w:val="20"/>
          <w:szCs w:val="20"/>
        </w:rPr>
        <w:t xml:space="preserve">Extensión: 10–12 páginas · Formato publicable · APA 7.ª edición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af0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c4587"/>
                <w:sz w:val="20"/>
                <w:szCs w:val="20"/>
              </w:rPr>
              <w:t xml:space="preserve">Autor(a) / doctorando(a):</w:t>
            </w:r>
          </w:p>
        </w:tc>
        <w:tc>
          <w:tcPr>
            <w:tcW w:type="dxa" w:w="62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eaf0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c4587"/>
                <w:sz w:val="20"/>
                <w:szCs w:val="20"/>
              </w:rPr>
              <w:t xml:space="preserve">Línea de investigación del DTI:</w:t>
            </w:r>
          </w:p>
        </w:tc>
        <w:tc>
          <w:tcPr>
            <w:tcW w:type="dxa" w:w="62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CRIC ☐   IASC ☐   IoTCI ☐   ADVTD ☐</w:t>
            </w:r>
          </w:p>
        </w:tc>
      </w:tr>
      <w:tr>
        <w:tc>
          <w:tcPr>
            <w:tcW w:type="dxa" w:w="3120"/>
            <w:shd w:fill="eaf0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c4587"/>
                <w:sz w:val="20"/>
                <w:szCs w:val="20"/>
              </w:rPr>
              <w:t xml:space="preserve">Director(a) de tesis (si aplica):</w:t>
            </w:r>
          </w:p>
        </w:tc>
        <w:tc>
          <w:tcPr>
            <w:tcW w:type="dxa" w:w="62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eaf0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c4587"/>
                <w:sz w:val="20"/>
                <w:szCs w:val="20"/>
              </w:rPr>
              <w:t xml:space="preserve">Fecha:</w:t>
            </w:r>
          </w:p>
        </w:tc>
        <w:tc>
          <w:tcPr>
            <w:tcW w:type="dxa" w:w="62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eaf0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c4587"/>
                <w:sz w:val="20"/>
                <w:szCs w:val="20"/>
              </w:rPr>
              <w:t xml:space="preserve">Declaración de uso de IA:</w:t>
            </w:r>
          </w:p>
        </w:tc>
        <w:tc>
          <w:tcPr>
            <w:tcW w:type="dxa" w:w="62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Sí ☐   No ☐   (si es Sí, detállalo en la nota al pie de esta página)</w:t>
            </w:r>
          </w:p>
        </w:tc>
      </w:tr>
    </w:tbl>
    <w:p>
      <w:pPr>
        <w:spacing w:before="200"/>
      </w:pPr>
      <w:r>
        <w:rPr>
          <w:b/>
          <w:bCs/>
          <w:color w:val="595959"/>
          <w:sz w:val="18"/>
          <w:szCs w:val="18"/>
        </w:rPr>
        <w:t xml:space="preserve">Nota sobre uso de IA (Acuerdo 029 de 2013): </w:t>
      </w:r>
      <w:r>
        <w:rPr>
          <w:i/>
          <w:iCs/>
          <w:color w:val="595959"/>
          <w:sz w:val="18"/>
          <w:szCs w:val="18"/>
        </w:rPr>
        <w:t xml:space="preserve">en caso de haber empleado herramientas de IA, declara aquí en qué aspectos y de qué manera.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c4587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c4587"/>
          <w:sz w:val="28"/>
          <w:szCs w:val="28"/>
        </w:rPr>
        <w:t xml:space="preserve">Cómo usar esta plantilla</w:t>
      </w:r>
    </w:p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Esta plantilla estructura el Protocolo Metodológico Cuantitativo de tu tesis doctoral en las diez secciones requeridas. Reemplaza cada texto-guía en gris por tu propio contenido y elimina las indicaciones antes de entregar. El Protocolo es de elaboración individual, debe articularse con una línea del DTI y sustentar cada decisión metodológica en los referentes del entorno (Wohlin et al., Cohen, Wasserstein &amp; Lazar, y los autores de la técnica avanzada elegida en el Ciclo 2). El código Python incluido (Secciones 5 y 6) debe ser funcional y estar documentado. Entrega en el recurso de evaluación antes del cierre de la Semana 15; la defensa oral es en el Coloquio de la Semana 16.</w:t>
      </w:r>
    </w:p>
    <w:p>
      <w:pPr>
        <w:spacing w:before="80"/>
      </w:pPr>
      <w:r>
        <w:rPr>
          <w:b/>
          <w:bCs/>
          <w:color w:val="1c4587"/>
          <w:sz w:val="20"/>
          <w:szCs w:val="20"/>
        </w:rPr>
        <w:t xml:space="preserve">Convención: </w:t>
      </w:r>
      <w:r>
        <w:rPr>
          <w:sz w:val="20"/>
          <w:szCs w:val="20"/>
        </w:rPr>
        <w:t xml:space="preserve">el texto en gris cursiva es orientación y debe eliminarse; las líneas “[completa aquí]” marcan lo que debes redactar.</w:t>
      </w:r>
    </w:p>
    <w:p>
      <w:r>
        <w:br w:type="page"/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1. Posicionamiento epistemológico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1.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Posicionamiento epistemológico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0.5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Posicionamiento argumentado, NO resumen teórico. Declara en qué paradigma se inscribe la investigación (p. ej. postpositivista) y por qué un enfoque cuantitativo es pertinente para tu pregunta específica.</w:t>
      </w:r>
    </w:p>
    <w:p>
      <w:pPr>
        <w:spacing w:after="140" w:before="40"/>
      </w:pPr>
      <w:r>
        <w:rPr>
          <w:b/>
          <w:bCs/>
          <w:color w:val="1c4587"/>
          <w:sz w:val="22"/>
          <w:szCs w:val="22"/>
        </w:rPr>
        <w:t xml:space="preserve">Paradigma y justificación del enfoque cuantitativo: </w:t>
      </w:r>
      <w:r>
        <w:rPr>
          <w:i/>
          <w:iCs/>
          <w:color w:val="999999"/>
          <w:sz w:val="22"/>
          <w:szCs w:val="22"/>
        </w:rPr>
        <w:t xml:space="preserve">[completa aquí]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2. Pregunta de investigación e hipótesis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2.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Pregunta de investigación e hipótesis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1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Formulación precisa de las preguntas cuantitativas y las hipótesis (nula y alternativa). Específicas, medibles, contrastables estadísticamente y coherentes con el diseño.</w:t>
      </w:r>
    </w:p>
    <w:p>
      <w:pPr>
        <w:pStyle w:val="Heading2"/>
        <w:spacing w:after="80" w:before="160"/>
      </w:pPr>
      <w:r>
        <w:rPr>
          <w:b/>
          <w:bCs/>
          <w:color w:val="1c4587"/>
          <w:sz w:val="24"/>
          <w:szCs w:val="24"/>
        </w:rPr>
        <w:t xml:space="preserve">Pregunta(s) de investigación</w:t>
      </w:r>
    </w:p>
    <w:p>
      <w:pPr>
        <w:spacing w:after="140" w:before="40"/>
      </w:pPr>
      <w:r>
        <w:rPr>
          <w:b/>
          <w:bCs/>
          <w:color w:val="1c4587"/>
          <w:sz w:val="22"/>
          <w:szCs w:val="22"/>
        </w:rPr>
        <w:t xml:space="preserve">Pregunta principal: </w:t>
      </w:r>
      <w:r>
        <w:rPr>
          <w:i/>
          <w:iCs/>
          <w:color w:val="999999"/>
          <w:sz w:val="22"/>
          <w:szCs w:val="22"/>
        </w:rPr>
        <w:t xml:space="preserve">[completa aquí]</w:t>
      </w:r>
    </w:p>
    <w:p>
      <w:pPr>
        <w:pStyle w:val="Heading2"/>
        <w:spacing w:after="80" w:before="160"/>
      </w:pPr>
      <w:r>
        <w:rPr>
          <w:b/>
          <w:bCs/>
          <w:color w:val="1c4587"/>
          <w:sz w:val="24"/>
          <w:szCs w:val="24"/>
        </w:rPr>
        <w:t xml:space="preserve">Hipótesis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H₀ (nula): [completa aquí]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H₁ (alternativa): [completa aquí]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3. Constructos, variables y operacionalización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3.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Constructos, variables y operacionalización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1–2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Constructos teóricos, variables (dependientes, independientes, de control, moderadoras), definiciones operacionales, escalas de medición e indicadores de validez y confiabilidad previstos (p. ej. Alfa de Cronbach, CCI).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00"/>
        <w:gridCol w:w="1700"/>
        <w:gridCol w:w="1810"/>
        <w:gridCol w:w="1810"/>
      </w:tblGrid>
      <w:tr>
        <w:trPr>
          <w:tblHeader/>
        </w:trPr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Constructo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Escala de medición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Validez/Confiabilidad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4. Diseño empírico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4.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Diseño empírico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1–2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Tipo de estudio con justificación técnica (experimental, cuasi-experimental, observacional o análisis secundario); descripción del diseño; amenazas a la validez (mínimo dos por categoría del marco de Wohlin et al.) y estrategias de control previstas.</w:t>
      </w:r>
    </w:p>
    <w:p>
      <w:pPr>
        <w:spacing w:after="140" w:before="40"/>
      </w:pPr>
      <w:r>
        <w:rPr>
          <w:b/>
          <w:bCs/>
          <w:color w:val="1c4587"/>
          <w:sz w:val="22"/>
          <w:szCs w:val="22"/>
        </w:rPr>
        <w:t xml:space="preserve">Tipo de estudio y justificación: </w:t>
      </w:r>
      <w:r>
        <w:rPr>
          <w:i/>
          <w:iCs/>
          <w:color w:val="999999"/>
          <w:sz w:val="22"/>
          <w:szCs w:val="22"/>
        </w:rPr>
        <w:t xml:space="preserve">[completa aquí]</w:t>
      </w:r>
    </w:p>
    <w:p>
      <w:pPr>
        <w:pStyle w:val="Heading2"/>
        <w:spacing w:after="80" w:before="160"/>
      </w:pPr>
      <w:r>
        <w:rPr>
          <w:b/>
          <w:bCs/>
          <w:color w:val="1c4587"/>
          <w:sz w:val="24"/>
          <w:szCs w:val="24"/>
        </w:rPr>
        <w:t xml:space="preserve">Amenazas a la validez y estrategias de control (mín. 2 por categoría)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Validez interna: [amenaza → control]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Validez externa: [amenaza → control]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Validez de constructo: [amenaza → control]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Validez de conclusión estadística: [amenaza → control]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5. Población, muestra y potencia estadística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5.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Población, muestra y potencia estadística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1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Población objetivo, estrategia de muestreo con justificación, criterios de inclusión/exclusión y cálculo del tamaño muestral con código Python (statsmodels.stats.power) con parámetros justificados. Reutiliza y adapta la potencia_plantilla.ipynb del Ciclo 1.</w:t>
      </w:r>
    </w:p>
    <w:p>
      <w:pPr>
        <w:spacing w:after="140" w:before="40"/>
      </w:pPr>
      <w:r>
        <w:rPr>
          <w:b/>
          <w:bCs/>
          <w:color w:val="1c4587"/>
          <w:sz w:val="22"/>
          <w:szCs w:val="22"/>
        </w:rPr>
        <w:t xml:space="preserve">Población, muestreo y criterios de inclusión/exclusión: </w:t>
      </w:r>
      <w:r>
        <w:rPr>
          <w:i/>
          <w:iCs/>
          <w:color w:val="999999"/>
          <w:sz w:val="22"/>
          <w:szCs w:val="22"/>
        </w:rPr>
        <w:t xml:space="preserve">[completa aquí]</w:t>
      </w:r>
    </w:p>
    <w:p>
      <w:pPr>
        <w:pStyle w:val="Heading2"/>
        <w:spacing w:after="80" w:before="160"/>
      </w:pPr>
      <w:r>
        <w:rPr>
          <w:b/>
          <w:bCs/>
          <w:color w:val="1c4587"/>
          <w:sz w:val="24"/>
          <w:szCs w:val="24"/>
        </w:rPr>
        <w:t xml:space="preserve">Cálculo de tamaño muestral (Python)</w:t>
      </w:r>
    </w:p>
    <w:p>
      <w:pPr>
        <w:pBdr>
          <w:left w:val="single" w:color="1c4587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from statsmodels.stats.power import TTestIndPower</w:t>
      </w:r>
      <w:r>
        <w:rPr>
          <w:rFonts w:ascii="Consolas" w:cs="Consolas" w:eastAsia="Consolas" w:hAnsi="Consolas"/>
          <w:sz w:val="18"/>
          <w:szCs w:val="18"/>
        </w:rPr>
        <w:br/>
        <w:t xml:space="preserve"># Parámetros justificados según el diseño y la literatura de la línea DTI</w:t>
      </w:r>
      <w:r>
        <w:rPr>
          <w:rFonts w:ascii="Consolas" w:cs="Consolas" w:eastAsia="Consolas" w:hAnsi="Consolas"/>
          <w:sz w:val="18"/>
          <w:szCs w:val="18"/>
        </w:rPr>
        <w:br/>
        <w:t xml:space="preserve">efecto  = 0.5     # d de Cohen esperado (justifica el valor)</w:t>
      </w:r>
      <w:r>
        <w:rPr>
          <w:rFonts w:ascii="Consolas" w:cs="Consolas" w:eastAsia="Consolas" w:hAnsi="Consolas"/>
          <w:sz w:val="18"/>
          <w:szCs w:val="18"/>
        </w:rPr>
        <w:br/>
        <w:t xml:space="preserve">alfa    = 0.05</w:t>
      </w:r>
      <w:r>
        <w:rPr>
          <w:rFonts w:ascii="Consolas" w:cs="Consolas" w:eastAsia="Consolas" w:hAnsi="Consolas"/>
          <w:sz w:val="18"/>
          <w:szCs w:val="18"/>
        </w:rPr>
        <w:br/>
        <w:t xml:space="preserve">potencia = 0.80</w:t>
      </w:r>
      <w:r>
        <w:rPr>
          <w:rFonts w:ascii="Consolas" w:cs="Consolas" w:eastAsia="Consolas" w:hAnsi="Consolas"/>
          <w:sz w:val="18"/>
          <w:szCs w:val="18"/>
        </w:rPr>
        <w:br/>
        <w:t xml:space="preserve">n = TTestIndPower().solve_power(effect_size=efecto, alpha=alfa, power=potencia)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print(f'n por grupo requerido = {n:.0f}')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6. Plan de análisis estadístico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6.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Plan de análisis estadístico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2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Análisis previstos por objetivo/hipótesis: técnica, librería Python, supuestos a verificar, métricas a reportar y criterios de decisión. Transfiere los métodos del Ciclo 2 (comparación de grupos, regresión, y la técnica avanzada). Debe ser tan detallado que un investigador externo pudiera replicarlo. Incluye código Python esquemático.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Hipótesis / objetivo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Técnica y librería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Supuestos a verificar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Métricas / criterio</w:t>
            </w:r>
          </w:p>
        </w:tc>
      </w:tr>
      <w:tr>
        <w:trPr>
          <w:tblHeader w:val="false"/>
        </w:trPr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c4587"/>
          <w:sz w:val="24"/>
          <w:szCs w:val="24"/>
        </w:rPr>
        <w:t xml:space="preserve">Código Python esquemático</w:t>
      </w:r>
    </w:p>
    <w:p>
      <w:pPr>
        <w:pBdr>
          <w:left w:val="single" w:color="1c4587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Pseudocódigo del análisis clave (no requiere ser funcional completo)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pandas as pd, statsmodels.formula.api as smf</w:t>
      </w:r>
      <w:r>
        <w:rPr>
          <w:rFonts w:ascii="Consolas" w:cs="Consolas" w:eastAsia="Consolas" w:hAnsi="Consolas"/>
          <w:sz w:val="18"/>
          <w:szCs w:val="18"/>
        </w:rPr>
        <w:br/>
        <w:t xml:space="preserve"># df = pd.read_csv('datos_tesis.csv')</w:t>
      </w:r>
      <w:r>
        <w:rPr>
          <w:rFonts w:ascii="Consolas" w:cs="Consolas" w:eastAsia="Consolas" w:hAnsi="Consolas"/>
          <w:sz w:val="18"/>
          <w:szCs w:val="18"/>
        </w:rPr>
        <w:br/>
        <w:t xml:space="preserve"># modelo = smf.ols('y ~ x1 + x2', data=df).fit()</w:t>
      </w:r>
      <w:r>
        <w:rPr>
          <w:rFonts w:ascii="Consolas" w:cs="Consolas" w:eastAsia="Consolas" w:hAnsi="Consolas"/>
          <w:sz w:val="18"/>
          <w:szCs w:val="18"/>
        </w:rPr>
        <w:br/>
        <w:t xml:space="preserve"># print(modelo.summary())   # coeficientes, IC 95%, R², AIC/BIC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7. Análisis de sensibilidad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7.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Análisis de sensibilidad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0.5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Análisis complementarios para verificar la robustez de los resultados principales: con y sin outliers, diferentes especificaciones del modelo, subgrupos de la muestra.</w:t>
      </w:r>
    </w:p>
    <w:p>
      <w:pPr>
        <w:spacing w:after="140" w:before="40"/>
      </w:pPr>
      <w:r>
        <w:rPr>
          <w:b/>
          <w:bCs/>
          <w:color w:val="1c4587"/>
          <w:sz w:val="22"/>
          <w:szCs w:val="22"/>
        </w:rPr>
        <w:t xml:space="preserve">Análisis de sensibilidad previstos: </w:t>
      </w:r>
      <w:r>
        <w:rPr>
          <w:i/>
          <w:iCs/>
          <w:color w:val="999999"/>
          <w:sz w:val="22"/>
          <w:szCs w:val="22"/>
        </w:rPr>
        <w:t xml:space="preserve">[completa aquí]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8. Consideraciones éticas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8.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Consideraciones éticas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0.5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Consentimiento informado si aplica; manejo de datos personales y cumplimiento de la Ley 1581 de 2012 (anonimización o pseudoanonimización); comité de ética si se requiere; declaración de conflictos de interés.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Consentimiento informado: [aplica / no aplica — cómo]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Datos personales y Ley 1581 de 2012: [estrategia de anonimización]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Comité de ética: [requiere aprobación / no]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Conflictos de interés: [declaración]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9. Reproducibilidad y ciencia abierta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9.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Reproducibilidad y ciencia abierta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0.5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Plan de preregistro (OSF, AsPredicted u otra); publicación de datos y código (GitHub, Zenodo/DOI), licencia prevista; cumplimiento de principios FAIR (datos y código Findable, Accessible, Interoperable, Reusable).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Preregistro: [plataforma y cronograma tentativo]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Publicación de datos y código: [GitHub / Zenodo / OSF — licencia]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Cumplimiento FAIR: [cómo se garantiza]</w:t>
      </w:r>
    </w:p>
    <w:p>
      <w:pPr>
        <w:pStyle w:val="Heading1"/>
        <w:spacing w:after="0" w:before="40"/>
      </w:pPr>
      <w:r>
        <w:rPr>
          <w:color w:val="FFFFFF"/>
          <w:sz w:val="2"/>
          <w:szCs w:val="2"/>
        </w:rPr>
        <w:t xml:space="preserve">Sección 10. Cronograma de ejecución</w:t>
      </w:r>
    </w:p>
    <w:tbl>
      <w:tblPr>
        <w:tblW w:type="dxa" w:w="9360"/>
        <w:tblBorders>
          <w:top w:val="single" w:color="1c4587" w:sz="4"/>
          <w:left w:val="none"/>
          <w:bottom w:val="single" w:color="1c4587" w:sz="4"/>
          <w:right w:val="none"/>
          <w:insideH w:val="none"/>
          <w:insideV w:val="none"/>
        </w:tblBorders>
      </w:tblPr>
      <w:tblGrid>
        <w:gridCol w:w="7860"/>
        <w:gridCol w:w="1500"/>
      </w:tblGrid>
      <w:tr>
        <w:tc>
          <w:tcPr>
            <w:tcW w:type="dxa" w:w="786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c4587"/>
                <w:sz w:val="24"/>
                <w:szCs w:val="24"/>
              </w:rPr>
              <w:t xml:space="preserve">Sección 10. </w:t>
            </w:r>
            <w:r>
              <w:rPr>
                <w:b/>
                <w:bCs/>
                <w:color w:val="1c4587"/>
                <w:sz w:val="24"/>
                <w:szCs w:val="24"/>
              </w:rPr>
              <w:t xml:space="preserve">Cronograma de ejecución</w:t>
            </w:r>
          </w:p>
        </w:tc>
        <w:tc>
          <w:tcPr>
            <w:tcW w:type="dxa" w:w="1500"/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≈ 0.5 pág</w:t>
            </w:r>
          </w:p>
        </w:tc>
      </w:tr>
    </w:tbl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Hitos del componente cuantitativo desde la recolección de datos hasta la publicación de resultados, articulados con los períodos restantes del programa doctoral (seminarios de investigación, tiempo para revisión por pares).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Período estimado</w:t>
            </w:r>
          </w:p>
        </w:tc>
        <w:tc>
          <w:tcPr>
            <w:shd w:fill="1c458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c4587"/>
          <w:sz w:val="28"/>
          <w:szCs w:val="28"/>
        </w:rPr>
        <w:t xml:space="preserve">Referencias</w:t>
      </w:r>
    </w:p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Todas las fuentes citadas en el Protocolo, en formato APA 7.ª edición. Incluye los referentes del entorno que sustentan tus decisiones metodológicas.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Cohen, J. (1988). Statistical Power Analysis for the Behavioral Sciences (2.ª ed.). Lawrence Erlbaum Associates.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Wasserstein, R. L., &amp; Lazar, N. A. (2016). The ASA's statement on p-values. The American Statistician, 70(2), 129–133.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Wohlin, C., Runeson, P., Höst, M., Ohlsson, M. C., Regnell, B., &amp; Wesslén, A. (2024). Experimentation in Software Engineering (2.ª ed.). Springer.</w:t>
      </w:r>
    </w:p>
    <w:p>
      <w:pPr>
        <w:spacing w:after="100" w:line="264"/>
        <w:jc w:val="both"/>
      </w:pPr>
      <w:r>
        <w:rPr>
          <w:i/>
          <w:iCs/>
          <w:color w:val="595959"/>
          <w:sz w:val="20"/>
          <w:szCs w:val="20"/>
        </w:rPr>
        <w:t xml:space="preserve">[Agrega el resto de tus referencias aquí, en orden alfabético.]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Protocolo Metodológico Cuantitativo · DTI–UNAD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Metodológico Cuantitativo — Plantilla</dc:title>
  <dc:creator>Doctorado en Tecnologías de Información — UNAD</dc:creator>
  <cp:lastModifiedBy>Un-named</cp:lastModifiedBy>
  <cp:revision>1</cp:revision>
  <dcterms:created xsi:type="dcterms:W3CDTF">2026-08-11T15:55:33.162Z</dcterms:created>
  <dcterms:modified xsi:type="dcterms:W3CDTF">2026-08-11T15:55:33.162Z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