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Procurement Agreement</w:t>
      </w:r>
    </w:p>
    <w:p>
      <w:pPr>
        <w:jc w:val="center"/>
      </w:pPr>
      <w:r>
        <w:rPr>
          <w:b/>
          <w:color w:val="A02323"/>
        </w:rPr>
        <w:t>ILLUSTRATIVE SAMPLE ? 2024 TERMS ? NOT FOR SIGNING</w:t>
      </w:r>
    </w:p>
    <w:p>
      <w:r>
        <w:t>Meridian Systems, Inc. and Asteron Manufacturing, Inc. | Agreement MS-2024-017</w:t>
      </w:r>
    </w:p>
    <w:tbl>
      <w:tblPr>
        <w:tblStyle w:val="LightShading-Accent1"/>
        <w:tblW w:type="auto" w:w="0"/>
        <w:tblLook w:firstColumn="1" w:firstRow="1" w:lastColumn="0" w:lastRow="0" w:noHBand="0" w:noVBand="1" w:val="04A0"/>
      </w:tblPr>
      <w:tblGrid>
        <w:gridCol w:w="4320"/>
        <w:gridCol w:w="4320"/>
      </w:tblGrid>
      <w:tr>
        <w:tc>
          <w:tcPr>
            <w:tcW w:type="dxa" w:w="4320"/>
          </w:tcPr>
          <w:p>
            <w:r>
              <w:t>Agreement / year</w:t>
            </w:r>
          </w:p>
        </w:tc>
        <w:tc>
          <w:tcPr>
            <w:tcW w:type="dxa" w:w="4320"/>
          </w:tcPr>
          <w:p>
            <w:r>
              <w:t>MS-2024-017 / 2024</w:t>
            </w:r>
          </w:p>
        </w:tc>
      </w:tr>
      <w:tr>
        <w:tc>
          <w:tcPr>
            <w:tcW w:type="dxa" w:w="4320"/>
          </w:tcPr>
          <w:p>
            <w:r>
              <w:t>Vendor</w:t>
            </w:r>
          </w:p>
        </w:tc>
        <w:tc>
          <w:tcPr>
            <w:tcW w:type="dxa" w:w="4320"/>
          </w:tcPr>
          <w:p>
            <w:r>
              <w:t>Meridian Systems, Inc.</w:t>
            </w:r>
          </w:p>
        </w:tc>
      </w:tr>
      <w:tr>
        <w:tc>
          <w:tcPr>
            <w:tcW w:type="dxa" w:w="4320"/>
          </w:tcPr>
          <w:p>
            <w:r>
              <w:t>Customer</w:t>
            </w:r>
          </w:p>
        </w:tc>
        <w:tc>
          <w:tcPr>
            <w:tcW w:type="dxa" w:w="4320"/>
          </w:tcPr>
          <w:p>
            <w:r>
              <w:t>Asteron Manufacturing, Inc.</w:t>
            </w:r>
          </w:p>
        </w:tc>
      </w:tr>
      <w:tr>
        <w:tc>
          <w:tcPr>
            <w:tcW w:type="dxa" w:w="4320"/>
          </w:tcPr>
          <w:p>
            <w:r>
              <w:t>Effective date / term</w:t>
            </w:r>
          </w:p>
        </w:tc>
        <w:tc>
          <w:tcPr>
            <w:tcW w:type="dxa" w:w="4320"/>
          </w:tcPr>
          <w:p>
            <w:r>
              <w:t>January 1, 2024 / January 1, 2024 through December 31, 2024</w:t>
            </w:r>
          </w:p>
        </w:tc>
      </w:tr>
      <w:tr>
        <w:tc>
          <w:tcPr>
            <w:tcW w:type="dxa" w:w="4320"/>
          </w:tcPr>
          <w:p>
            <w:r>
              <w:t>Scope</w:t>
            </w:r>
          </w:p>
        </w:tc>
        <w:tc>
          <w:tcPr>
            <w:tcW w:type="dxa" w:w="4320"/>
          </w:tcPr>
          <w:p>
            <w:r>
              <w:t>Procurement and subscription of Meridian Operations Cloud, including the same 500 named users, workflow and asset-management modules, standard support, and initial implementation and data migration services.</w:t>
            </w:r>
          </w:p>
        </w:tc>
      </w:tr>
      <w:tr>
        <w:tc>
          <w:tcPr>
            <w:tcW w:type="dxa" w:w="4320"/>
          </w:tcPr>
          <w:p>
            <w:r>
              <w:t>Annual subscription</w:t>
            </w:r>
          </w:p>
        </w:tc>
        <w:tc>
          <w:tcPr>
            <w:tcW w:type="dxa" w:w="4320"/>
          </w:tcPr>
          <w:p>
            <w:r>
              <w:t>$180,000 per year ($15,000 per month)</w:t>
            </w:r>
          </w:p>
        </w:tc>
      </w:tr>
      <w:tr>
        <w:tc>
          <w:tcPr>
            <w:tcW w:type="dxa" w:w="4320"/>
          </w:tcPr>
          <w:p>
            <w:r>
              <w:t>Implementation</w:t>
            </w:r>
          </w:p>
        </w:tc>
        <w:tc>
          <w:tcPr>
            <w:tcW w:type="dxa" w:w="4320"/>
          </w:tcPr>
          <w:p>
            <w:r>
              <w:t>$48,000 one-time fixed fee</w:t>
            </w:r>
          </w:p>
        </w:tc>
      </w:tr>
      <w:tr>
        <w:tc>
          <w:tcPr>
            <w:tcW w:type="dxa" w:w="4320"/>
          </w:tcPr>
          <w:p>
            <w:r>
              <w:t>Estimated first-year value</w:t>
            </w:r>
          </w:p>
        </w:tc>
        <w:tc>
          <w:tcPr>
            <w:tcW w:type="dxa" w:w="4320"/>
          </w:tcPr>
          <w:p>
            <w:r>
              <w:t>$228,000 first-year contract value, excluding taxes and approved expenses</w:t>
            </w:r>
          </w:p>
        </w:tc>
      </w:tr>
    </w:tbl>
    <w:p>
      <w:pPr>
        <w:pStyle w:val="Heading1"/>
      </w:pPr>
      <w:r>
        <w:t>1. Parties and purpose</w:t>
      </w:r>
    </w:p>
    <w:p>
      <w:r>
        <w:t>This Software Procurement Agreement (Agreement) is entered into by Meridian Systems, Inc. (Vendor) and Asteron Manufacturing, Inc. (Customer), effective January 1, 2024 (Effective Date). Vendor will provide the software subscription, support, and services described here; Customer will pay the applicable charges and use the services in accordance with this Agreement.</w:t>
      </w:r>
    </w:p>
    <w:p>
      <w:pPr>
        <w:pStyle w:val="Heading1"/>
      </w:pPr>
      <w:r>
        <w:t>2. Scope and deliverables</w:t>
      </w:r>
    </w:p>
    <w:p>
      <w:r>
        <w:t>The scope is the same in both sample agreements: Procurement and subscription of Meridian Operations Cloud, including the same 500 named users, workflow and asset-management modules, standard support, and initial implementation and data migration services. Vendor will configure the standard modules, conduct up to two remote administrator training sessions, and migrate Customer-provided data using Vendor?s standard import tools. Custom development, third-party products, and work outside this scope require a separately signed change order. The parties will agree on a written implementation plan within 15 business days after kickoff.</w:t>
      </w:r>
    </w:p>
    <w:p>
      <w:pPr>
        <w:pStyle w:val="Heading1"/>
      </w:pPr>
      <w:r>
        <w:t>3. Term and order of precedence</w:t>
      </w:r>
    </w:p>
    <w:p>
      <w:r>
        <w:t>The initial subscription term is January 1, 2024 through December 31, 2024. The Agreement consists of this document and any signed order form or change order. If terms conflict, a later signed change order controls only for its stated subject; otherwise this Agreement controls over an order form. The parties may renew only as stated in Section 5.</w:t>
      </w:r>
    </w:p>
    <w:p>
      <w:pPr>
        <w:pStyle w:val="Heading1"/>
      </w:pPr>
      <w:r>
        <w:t>4. Fees, invoicing, and taxes</w:t>
      </w:r>
    </w:p>
    <w:p>
      <w:r>
        <w:t>Annual subscription fee: $180,000 per year ($15,000 per month). One-time implementation fee: $48,000 one-time fixed fee. Estimated first-year contract value: $228,000 first-year contract value, excluding taxes and approved expenses. Annual subscription billed in advance at the start of the term; implementation billed 50% at kickoff and 50% at acceptance. Invoices due net 30 days. Fees exclude applicable transaction taxes, which Customer will pay except taxes on Vendor?s income. Vendor must identify disputed invoice amounts in reasonable detail; Customer will timely pay undisputed amounts while the parties resolve a dispute.</w:t>
      </w:r>
    </w:p>
    <w:p>
      <w:pPr>
        <w:pStyle w:val="Heading1"/>
      </w:pPr>
      <w:r>
        <w:t>5. Renewal</w:t>
      </w:r>
    </w:p>
    <w:p>
      <w:r>
        <w:t>Renews for successive one-year periods unless either party gives written non-renewal notice at least 60 days before the current term ends. Renewal subscription fees may increase by up to 7% per year.</w:t>
      </w:r>
    </w:p>
    <w:p>
      <w:pPr>
        <w:pStyle w:val="Heading1"/>
      </w:pPr>
      <w:r>
        <w:t>6. Access, use, and data</w:t>
      </w:r>
    </w:p>
    <w:p>
      <w:r>
        <w:t>During the term, Vendor grants Customer a limited, non-exclusive, non-transferable right for its employees and contractors to access the subscribed modules for Customer?s internal business operations, up to 500 named users. Customer retains all rights in Customer Data. Vendor may process Customer Data only to provide, secure, and support the services and as otherwise documented in written instructions. Customer is responsible for the lawfulness and accuracy of data it supplies.</w:t>
      </w:r>
    </w:p>
    <w:p>
      <w:pPr>
        <w:pStyle w:val="Heading1"/>
      </w:pPr>
      <w:r>
        <w:t>7. Implementation and acceptance</w:t>
      </w:r>
    </w:p>
    <w:p>
      <w:r>
        <w:t>Vendor will perform implementation with reasonable skill and care. Customer will appoint a project contact, provide timely access to source data, and review deliverables within 10 business days of delivery. A deliverable is accepted unless Customer provides a written description of a material failure to meet the agreed scope within that review period. Vendor will use reasonable efforts to correct a verified failure and resubmit the deliverable for review.</w:t>
      </w:r>
    </w:p>
    <w:p>
      <w:pPr>
        <w:pStyle w:val="Heading1"/>
      </w:pPr>
      <w:r>
        <w:t>8. Availability and service credits</w:t>
      </w:r>
    </w:p>
    <w:p>
      <w:r>
        <w:t>99.5% monthly availability, excluding scheduled maintenance and stated service exclusions. Service credits are 5% of the monthly subscription fee for 99.0%?99.49% availability and 10% below 99.0%, capped at 10% for the month. A service credit is Customer?s sole monetary remedy for failure to meet the availability target, provided Customer requests it within 30 days after the affected month. Credits are applied to a future invoice and are not cash-refundable except where required by law. This sample does not specify maintenance windows or all exclusions; the executed agreement would do so.</w:t>
      </w:r>
    </w:p>
    <w:p>
      <w:pPr>
        <w:pStyle w:val="Heading1"/>
      </w:pPr>
      <w:r>
        <w:t>9. Support</w:t>
      </w:r>
    </w:p>
    <w:p>
      <w:r>
        <w:t>Standard support: 8:00 a.m.?6:00 p.m. customer-local time, Monday?Friday, excluding vendor holidays. Severity 1 initial response target: 4 business hours. Response targets measure acknowledgment and initial investigation, not resolution time. Vendor will provide a support portal and status updates for material incidents. Customer must provide reasonable diagnostic information and designate authorized support contacts.</w:t>
      </w:r>
    </w:p>
    <w:p>
      <w:pPr>
        <w:pStyle w:val="Heading1"/>
      </w:pPr>
      <w:r>
        <w:t>10. Security and confidentiality</w:t>
      </w:r>
    </w:p>
    <w:p>
      <w:r>
        <w:t>Vendor will use commercially reasonable administrative, technical, and physical safeguards, maintain a written security program, and notify Customer of a confirmed security incident affecting Customer Data without undue delay, with a target of 72 hours after confirmation. Each party will protect the other party?s non-public business information using reasonable care and use it only for this Agreement. These duties do not apply to information that is public without breach, independently developed, or lawfully received without restriction. Vendor will ensure personnel with access are bound by confidentiality duties.</w:t>
      </w:r>
    </w:p>
    <w:p>
      <w:pPr>
        <w:pStyle w:val="Heading1"/>
      </w:pPr>
      <w:r>
        <w:t>11. Intellectual property</w:t>
      </w:r>
    </w:p>
    <w:p>
      <w:r>
        <w:t>Vendor and its licensors retain all rights in the software, documentation, and pre-existing materials. Customer retains all rights in Customer Data and Customer-provided materials. Each party grants the other only the limited rights necessary to perform this Agreement. No ownership of custom work is transferred unless a signed change order expressly states otherwise.</w:t>
      </w:r>
    </w:p>
    <w:p>
      <w:pPr>
        <w:pStyle w:val="Heading1"/>
      </w:pPr>
      <w:r>
        <w:t>12. Warranties and disclaimers</w:t>
      </w:r>
    </w:p>
    <w:p>
      <w:r>
        <w:t>Vendor warrants that it will provide the services in a professional and workmanlike manner and that the hosted service will materially conform to its then-current documentation during the subscription term. Customer?s exclusive remedy for a breach of this warranty is correction or re-performance, or termination of the affected service and a pro-rata refund of prepaid unused fees if correction is not commercially reasonable. Except as expressly stated, services are provided without additional warranties to the extent permitted by law.</w:t>
      </w:r>
    </w:p>
    <w:p>
      <w:pPr>
        <w:pStyle w:val="Heading1"/>
      </w:pPr>
      <w:r>
        <w:t>13. Termination and data return</w:t>
      </w:r>
    </w:p>
    <w:p>
      <w:r>
        <w:t>Either party may terminate for material breach not cured within 30 days after written notice. Customer may terminate for convenience after the first six months on 90 days? notice, paying fees through the effective termination date and any non-cancellable committed amounts. On termination or expiration, Customer?s access ends, except for the data export period below. Customer may export Customer Data during the subscription and for 30 days after termination. Vendor will delete remaining Customer Data within 60 days after that export window, except data retained as required by law.</w:t>
      </w:r>
    </w:p>
    <w:p>
      <w:pPr>
        <w:pStyle w:val="Heading1"/>
      </w:pPr>
      <w:r>
        <w:t>14. Indemnity and liability</w:t>
      </w:r>
    </w:p>
    <w:p>
      <w:r>
        <w:t>Vendor will defend Customer against a third-party claim that the unmodified service, as provided by Vendor and used as authorized, infringes that party?s intellectual-property right, and pay damages finally awarded or settlement amounts approved by Vendor. Customer will promptly notify Vendor and provide reasonable cooperation. Vendor has no duty for claims caused by Customer Data, unauthorized modifications, or combinations not supplied by Vendor. Except for excluded claims, each party?s aggregate liability is capped at fees paid or payable under this Agreement in the 12 months before the event giving rise to the claim. No special cap applies to confidentiality or data-security claims. Neither party is liable for indirect, incidental, special, or consequential damages, including lost profits, to the extent permitted by law.</w:t>
      </w:r>
    </w:p>
    <w:p>
      <w:pPr>
        <w:pStyle w:val="Heading1"/>
      </w:pPr>
      <w:r>
        <w:t>15. General terms and signature</w:t>
      </w:r>
    </w:p>
    <w:p>
      <w:r>
        <w:t>Neither party may assign this Agreement without the other?s written consent, except to an affiliate or successor in a merger or sale of substantially all relevant assets, provided the assignee assumes the obligations. Neither party is liable for delay caused by events beyond reasonable control. This Agreement is governed by the law of the fictional State of Example, without regard to conflict rules; this illustrative choice does not select a real jurisdiction. Amendments must be signed by both parties.</w:t>
      </w:r>
    </w:p>
    <w:p>
      <w:pPr>
        <w:pStyle w:val="Heading1"/>
      </w:pPr>
      <w:r>
        <w:t>Signatures (sample only)</w:t>
      </w:r>
    </w:p>
    <w:p>
      <w:r>
        <w:t>This sample is not an offer or binding agreement. Signature lines are included for layout demonstration only.</w:t>
      </w:r>
    </w:p>
    <w:p>
      <w:r>
        <w:t>VENDOR: Meridian Systems, Inc.</w:t>
        <w:br/>
        <w:t>By: __________________________  Name/Title: __________________________  Date: __________</w:t>
      </w:r>
    </w:p>
    <w:p>
      <w:r>
        <w:t>CUSTOMER: Asteron Manufacturing, Inc.</w:t>
        <w:br/>
        <w:t>By: __________________________  Name/Title: __________________________  Date: __________</w:t>
      </w:r>
    </w:p>
    <w:sectPr w:rsidR="00FC693F" w:rsidRPr="0006063C" w:rsidSect="00034616">
      <w:footerReference w:type="default" r:id="rId9"/>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Fictional sample | 2024 | Not legal advice or a binding contract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