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Residential Mortgage Loan Agreement</w:t>
      </w:r>
    </w:p>
    <w:p>
      <w:pPr>
        <w:jc w:val="center"/>
      </w:pPr>
      <w:r>
        <w:rPr>
          <w:b/>
          <w:color w:val="A02323"/>
        </w:rPr>
        <w:t>ILLUSTRATIVE SAMPLE ? FICTIONAL PARTIES ? NOT FOR SIGNING OR LEGAL USE</w:t>
      </w:r>
    </w:p>
    <w:p>
      <w:r>
        <w:t>Pinecrest Home Lending, LLC | Pinecrest Fixed 30 | Generic illustrative terms</w:t>
      </w:r>
    </w:p>
    <w:tbl>
      <w:tblPr>
        <w:tblStyle w:val="LightShading-Accent1"/>
        <w:tblW w:type="auto" w:w="0"/>
        <w:tblLook w:firstColumn="1" w:firstRow="1" w:lastColumn="0" w:lastRow="0" w:noHBand="0" w:noVBand="1" w:val="04A0"/>
      </w:tblPr>
      <w:tblGrid>
        <w:gridCol w:w="4320"/>
        <w:gridCol w:w="4320"/>
      </w:tblGrid>
      <w:tr>
        <w:tc>
          <w:tcPr>
            <w:tcW w:type="dxa" w:w="4320"/>
          </w:tcPr>
          <w:p>
            <w:r>
              <w:t>Lender / product</w:t>
            </w:r>
          </w:p>
        </w:tc>
        <w:tc>
          <w:tcPr>
            <w:tcW w:type="dxa" w:w="4320"/>
          </w:tcPr>
          <w:p>
            <w:r>
              <w:t>Pinecrest Home Lending, LLC / Pinecrest Fixed 30</w:t>
            </w:r>
          </w:p>
        </w:tc>
      </w:tr>
      <w:tr>
        <w:tc>
          <w:tcPr>
            <w:tcW w:type="dxa" w:w="4320"/>
          </w:tcPr>
          <w:p>
            <w:r>
              <w:t>Borrowers</w:t>
            </w:r>
          </w:p>
        </w:tc>
        <w:tc>
          <w:tcPr>
            <w:tcW w:type="dxa" w:w="4320"/>
          </w:tcPr>
          <w:p>
            <w:r>
              <w:t>Jordan Lee and Avery Lee (fictional sample borrowers)</w:t>
            </w:r>
          </w:p>
        </w:tc>
      </w:tr>
      <w:tr>
        <w:tc>
          <w:tcPr>
            <w:tcW w:type="dxa" w:w="4320"/>
          </w:tcPr>
          <w:p>
            <w:r>
              <w:t>Property / purpose</w:t>
            </w:r>
          </w:p>
        </w:tc>
        <w:tc>
          <w:tcPr>
            <w:tcW w:type="dxa" w:w="4320"/>
          </w:tcPr>
          <w:p>
            <w:r>
              <w:t>100 Example Lane, Sample City, ZZ 00000 (fictional sample property); owner-occupied, one-unit purchase</w:t>
            </w:r>
          </w:p>
        </w:tc>
      </w:tr>
      <w:tr>
        <w:tc>
          <w:tcPr>
            <w:tcW w:type="dxa" w:w="4320"/>
          </w:tcPr>
          <w:p>
            <w:r>
              <w:t>Original principal</w:t>
            </w:r>
          </w:p>
        </w:tc>
        <w:tc>
          <w:tcPr>
            <w:tcW w:type="dxa" w:w="4320"/>
          </w:tcPr>
          <w:p>
            <w:r>
              <w:t>$320,000.00</w:t>
            </w:r>
          </w:p>
        </w:tc>
      </w:tr>
      <w:tr>
        <w:tc>
          <w:tcPr>
            <w:tcW w:type="dxa" w:w="4320"/>
          </w:tcPr>
          <w:p>
            <w:r>
              <w:t>Fixed annual rate / term</w:t>
            </w:r>
          </w:p>
        </w:tc>
        <w:tc>
          <w:tcPr>
            <w:tcW w:type="dxa" w:w="4320"/>
          </w:tcPr>
          <w:p>
            <w:r>
              <w:t>6.250% / 30 years</w:t>
            </w:r>
          </w:p>
        </w:tc>
      </w:tr>
      <w:tr>
        <w:tc>
          <w:tcPr>
            <w:tcW w:type="dxa" w:w="4320"/>
          </w:tcPr>
          <w:p>
            <w:r>
              <w:t>Estimated monthly principal and interest</w:t>
            </w:r>
          </w:p>
        </w:tc>
        <w:tc>
          <w:tcPr>
            <w:tcW w:type="dxa" w:w="4320"/>
          </w:tcPr>
          <w:p>
            <w:r>
              <w:t>$1,970.30; excludes escrow and other charges</w:t>
            </w:r>
          </w:p>
        </w:tc>
      </w:tr>
    </w:tbl>
    <w:p/>
    <w:p>
      <w:pPr>
        <w:pStyle w:val="Heading1"/>
      </w:pPr>
      <w:r>
        <w:t>1. Parties and transaction</w:t>
      </w:r>
    </w:p>
    <w:p>
      <w:r>
        <w:t>This illustrative residential purchase-money loan agreement (Agreement) is between Pinecrest Home Lending, LLC (Lender) and Jordan Lee and Avery Lee (fictional sample borrowers) (Borrowers). Lender agrees, subject to the terms below and completion of closing, to provide financing to purchase the one-unit residential property at 100 Example Lane, Sample City, ZZ 00000 (fictional sample property) (Property). The intended use is as Borrowers? primary residence.</w:t>
      </w:r>
    </w:p>
    <w:p>
      <w:pPr>
        <w:pStyle w:val="Heading1"/>
      </w:pPr>
      <w:r>
        <w:t>2. Principal and repayment terms</w:t>
      </w:r>
    </w:p>
    <w:p>
      <w:r>
        <w:t>The original principal amount is $320,000.00. The annual fixed interest rate is 6.250% for the full 30-year term. Borrowers will make 360 monthly payments of principal and interest, with the first payment due one month after funds are disbursed. The estimated monthly principal-and-interest payment is $1,970.30; this estimate excludes escrow, taxes, insurance, and other charges. The final payment may differ because of rounding or the actual disbursement date. Payments are due on the same calendar day each month, or the last day of a shorter month.</w:t>
      </w:r>
    </w:p>
    <w:p>
      <w:pPr>
        <w:pStyle w:val="Heading1"/>
      </w:pPr>
      <w:r>
        <w:t>3. Fees and rate lock</w:t>
      </w:r>
    </w:p>
    <w:p>
      <w:r>
        <w:t>Lender fees: $1,250 flat lender origination fee. Discount points: No discount points. These charges are payable at closing unless the final closing statement expressly says otherwise and are not part of the $320,000.00 principal. The quoted interest rate is locked for 45 calendar days from the signed rate-lock confirmation; any extension or change must be confirmed in writing. This sample does not calculate an annual percentage rate or total finance charge.</w:t>
      </w:r>
    </w:p>
    <w:p>
      <w:pPr>
        <w:pStyle w:val="Heading1"/>
      </w:pPr>
      <w:r>
        <w:t>4. Payment administration</w:t>
      </w:r>
    </w:p>
    <w:p>
      <w:r>
        <w:t>Borrowers will pay in U.S. dollars using a method designated by Lender in the final closing instructions. Lender will apply each payment first to any amounts then due and payable, then to accrued interest, then to principal, subject to applicable law and the final note. Lender will provide a payment history on reasonable request. No payment method or account details are included in this sample.</w:t>
      </w:r>
    </w:p>
    <w:p>
      <w:pPr>
        <w:pStyle w:val="Heading1"/>
      </w:pPr>
      <w:r>
        <w:t>5. Taxes, insurance, and property care</w:t>
      </w:r>
    </w:p>
    <w:p>
      <w:r>
        <w:t>Monthly escrow collections are required for property taxes and hazard insurance. Borrowers remain responsible for maintaining required hazard insurance, paying property charges when due, and keeping the Property in reasonable condition. Escrow amounts may be adjusted based on actual costs and applicable requirements. These obligations do not change the principal-and-interest payment stated above.</w:t>
      </w:r>
    </w:p>
    <w:p>
      <w:pPr>
        <w:pStyle w:val="Heading1"/>
      </w:pPr>
      <w:r>
        <w:t>6. Security for the loan</w:t>
      </w:r>
    </w:p>
    <w:p>
      <w:r>
        <w:t>As a condition of funding, Borrowers will sign a separate security instrument creating a lien against the Property in favor of Lender. The required instrument, its recording, lien priority, and enforcement are governed by the law and forms applicable where the Property is located. This illustrative Agreement is not itself a deed of trust, mortgage, promissory note, or recordable instrument.</w:t>
      </w:r>
    </w:p>
    <w:p>
      <w:pPr>
        <w:pStyle w:val="Heading1"/>
      </w:pPr>
      <w:r>
        <w:t>7. Prepayment</w:t>
      </w:r>
    </w:p>
    <w:p>
      <w:r>
        <w:t>Borrowers may make additional principal payments at any time without a prepayment fee. Any partial prepayment will be credited to principal after amounts then due, unless applicable law requires otherwise. A partial prepayment does not postpone or replace a scheduled monthly installment.</w:t>
      </w:r>
    </w:p>
    <w:p>
      <w:pPr>
        <w:pStyle w:val="Heading1"/>
      </w:pPr>
      <w:r>
        <w:t>8. Late payment and default</w:t>
      </w:r>
    </w:p>
    <w:p>
      <w:r>
        <w:t>A payment not received by the end of the 15 calendar days after the scheduled due date may incur a late charge of The lesser of $35 or 4% of the overdue installment, where permitted by applicable law. A late charge will not be imposed more than once on the same overdue installment. A material failure to pay or perform an obligation is a default only after any notice and opportunity to cure required by applicable law and the final loan documents. Before acceleration or enforcement, Lender will give notices and cure rights required by applicable law.</w:t>
      </w:r>
    </w:p>
    <w:p>
      <w:pPr>
        <w:pStyle w:val="Heading1"/>
      </w:pPr>
      <w:r>
        <w:t>9. Borrower statements and ongoing duties</w:t>
      </w:r>
    </w:p>
    <w:p>
      <w:r>
        <w:t>Borrowers state that the information they provide for this illustrative transaction is complete and accurate to the best of their knowledge, and agree to promptly notify Lender of a material change before closing. Borrowers will occupy the Property as stated above, maintain insurance, and provide reasonable evidence of payment of property charges upon request. Any final occupancy, underwriting, or servicing requirements must be stated in the executed loan documents.</w:t>
      </w:r>
    </w:p>
    <w:p>
      <w:pPr>
        <w:pStyle w:val="Heading1"/>
      </w:pPr>
      <w:r>
        <w:t>10. General terms and signatures</w:t>
      </w:r>
    </w:p>
    <w:p>
      <w:r>
        <w:t>This sample is for comparison and training only. It is not an offer of credit, a commitment to lend, legal advice, or a substitute for disclosures and transaction documents required by law. No jurisdiction or governing-law clause is selected. Any binding transaction would require review and completion of jurisdiction-specific documents by qualified professionals. Changes to an executed agreement must be in a signed writing, subject to applicable law. If any provision is unenforceable, the remaining provisions continue only to the extent permitted by law.</w:t>
      </w:r>
    </w:p>
    <w:p>
      <w:pPr>
        <w:pStyle w:val="Heading1"/>
      </w:pPr>
      <w:r>
        <w:t>Acknowledgment and signatures (sample only)</w:t>
      </w:r>
    </w:p>
    <w:p>
      <w:r>
        <w:t>By signing a final, completed agreement, the parties would acknowledge receipt and agreement to its terms. No signature here creates an obligation.</w:t>
      </w:r>
    </w:p>
    <w:p>
      <w:r>
        <w:br/>
        <w:t>LENDER: Pinecrest Home Lending, LLC</w:t>
        <w:br/>
        <w:t>By: ______________________________   Title: ____________________   Date: __________</w:t>
      </w:r>
    </w:p>
    <w:p>
      <w:r>
        <w:br/>
        <w:t>BORROWER: Jordan Lee</w:t>
        <w:br/>
        <w:t>Signature: _________________________   Date: __________</w:t>
      </w:r>
    </w:p>
    <w:p>
      <w:r>
        <w:br/>
        <w:t>BORROWER: Avery Lee</w:t>
        <w:br/>
        <w:t>Signature: _________________________   Date: __________</w:t>
      </w:r>
    </w:p>
    <w:sectPr w:rsidR="00FC693F" w:rsidRPr="0006063C" w:rsidSect="00034616">
      <w:footerReference w:type="default" r:id="rId9"/>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rPr>
      <w:t>Fictional comparison sample | Generic illustrative terms | Not a legal form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