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rFonts w:ascii="Calibri" w:hAnsi="Calibri"/>
          <w:b/>
          <w:color w:val="0B3D91"/>
          <w:sz w:val="56"/>
        </w:rPr>
        <w:t>HealthClarify Engine - Working Prototype</w:t>
      </w:r>
    </w:p>
    <w:p>
      <w:pPr>
        <w:jc w:val="center"/>
        <w:pBdr>
          <w:bottom w:val="single" w:sz="8" w:space="1" w:color="0B3D91"/>
        </w:pBdr>
      </w:pPr>
    </w:p>
    <w:p/>
    <w:p>
      <w:pPr>
        <w:spacing w:after="120"/>
        <w:jc w:val="both"/>
      </w:pPr>
      <w:r>
        <w:rPr>
          <w:rFonts w:ascii="Calibri" w:hAnsi="Calibri"/>
          <w:b/>
          <w:i w:val="0"/>
          <w:sz w:val="22"/>
        </w:rPr>
        <w:t>HealthClarify</w:t>
      </w:r>
      <w:r>
        <w:rPr>
          <w:rFonts w:ascii="Calibri" w:hAnsi="Calibri"/>
          <w:b w:val="0"/>
          <w:i w:val="0"/>
          <w:sz w:val="22"/>
        </w:rPr>
        <w:t xml:space="preserve"> is a privacy-preserving, agentic AI platform designed to translate complex HL7 FHIR Electronic Health Record (EHR) discharge summaries into accessible, plain-language, multimodal health literacy artifacts for European citizens under the European Health Data Space (EHDS).</w:t>
      </w:r>
    </w:p>
    <w:p>
      <w:pPr>
        <w:pBdr>
          <w:bottom w:val="single" w:sz="8" w:space="1" w:color="0B3D91"/>
        </w:pBdr>
        <w:spacing w:after="120"/>
      </w:pPr>
    </w:p>
    <w:p>
      <w:pPr>
        <w:keepNext/>
        <w:spacing w:before="360" w:after="120"/>
      </w:pPr>
      <w:r>
        <w:rPr>
          <w:rFonts w:ascii="Calibri" w:hAnsi="Calibri"/>
          <w:b/>
          <w:i w:val="0"/>
          <w:color w:val="0B3D91"/>
          <w:sz w:val="36"/>
        </w:rPr>
        <w:t>🚀 Key Features</w:t>
      </w:r>
    </w:p>
    <w:p>
      <w:pPr>
        <w:spacing w:after="40"/>
        <w:ind w:left="397"/>
      </w:pPr>
      <w:r>
        <w:rPr>
          <w:rFonts w:ascii="Calibri" w:hAnsi="Calibri"/>
          <w:b/>
          <w:color w:val="0B3D91"/>
          <w:sz w:val="22"/>
        </w:rPr>
        <w:t xml:space="preserve">•  </w:t>
      </w:r>
      <w:r>
        <w:rPr>
          <w:rFonts w:ascii="Calibri" w:hAnsi="Calibri"/>
          <w:b/>
          <w:i w:val="0"/>
          <w:sz w:val="22"/>
        </w:rPr>
        <w:t>HL7 FHIR / IPS Ingestion:</w:t>
      </w:r>
      <w:r>
        <w:rPr>
          <w:rFonts w:ascii="Calibri" w:hAnsi="Calibri"/>
          <w:b w:val="0"/>
          <w:i w:val="0"/>
          <w:sz w:val="22"/>
        </w:rPr>
        <w:t xml:space="preserve"> Supports parsing of FHIR </w:t>
      </w:r>
      <w:r>
        <w:rPr>
          <w:rFonts w:ascii="Consolas" w:hAnsi="Consolas"/>
          <w:b w:val="0"/>
          <w:i w:val="0"/>
          <w:color w:val="B03030"/>
          <w:sz w:val="20"/>
        </w:rPr>
        <w:t>Composition</w:t>
      </w:r>
      <w:r>
        <w:rPr>
          <w:rFonts w:ascii="Calibri" w:hAnsi="Calibri"/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color w:val="B03030"/>
          <w:sz w:val="20"/>
        </w:rPr>
        <w:t>DiagnosticReport</w:t>
      </w:r>
      <w:r>
        <w:rPr>
          <w:rFonts w:ascii="Calibri" w:hAnsi="Calibri"/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color w:val="B03030"/>
          <w:sz w:val="20"/>
        </w:rPr>
        <w:t>MedicationRequest</w:t>
      </w:r>
      <w:r>
        <w:rPr>
          <w:rFonts w:ascii="Calibri" w:hAnsi="Calibri"/>
          <w:b w:val="0"/>
          <w:i w:val="0"/>
          <w:sz w:val="22"/>
        </w:rPr>
        <w:t xml:space="preserve">, and </w:t>
      </w:r>
      <w:r>
        <w:rPr>
          <w:rFonts w:ascii="Consolas" w:hAnsi="Consolas"/>
          <w:b w:val="0"/>
          <w:i w:val="0"/>
          <w:color w:val="B03030"/>
          <w:sz w:val="20"/>
        </w:rPr>
        <w:t>Condition</w:t>
      </w:r>
      <w:r>
        <w:rPr>
          <w:rFonts w:ascii="Calibri" w:hAnsi="Calibri"/>
          <w:b w:val="0"/>
          <w:i w:val="0"/>
          <w:sz w:val="22"/>
        </w:rPr>
        <w:t xml:space="preserve"> resources.</w:t>
      </w:r>
    </w:p>
    <w:p>
      <w:pPr>
        <w:spacing w:after="40"/>
        <w:ind w:left="397"/>
      </w:pPr>
      <w:r>
        <w:rPr>
          <w:rFonts w:ascii="Calibri" w:hAnsi="Calibri"/>
          <w:b/>
          <w:color w:val="0B3D91"/>
          <w:sz w:val="22"/>
        </w:rPr>
        <w:t xml:space="preserve">•  </w:t>
      </w:r>
      <w:r>
        <w:rPr>
          <w:rFonts w:ascii="Calibri" w:hAnsi="Calibri"/>
          <w:b/>
          <w:i w:val="0"/>
          <w:sz w:val="22"/>
        </w:rPr>
        <w:t>Agentic De-jargonization:</w:t>
      </w:r>
      <w:r>
        <w:rPr>
          <w:rFonts w:ascii="Calibri" w:hAnsi="Calibri"/>
          <w:b w:val="0"/>
          <w:i w:val="0"/>
          <w:sz w:val="22"/>
        </w:rPr>
        <w:t xml:space="preserve"> Converts complex medical terminology into clear CEFR A2-B1 plain language.</w:t>
      </w:r>
    </w:p>
    <w:p>
      <w:pPr>
        <w:spacing w:after="40"/>
        <w:ind w:left="397"/>
      </w:pPr>
      <w:r>
        <w:rPr>
          <w:rFonts w:ascii="Calibri" w:hAnsi="Calibri"/>
          <w:b/>
          <w:color w:val="0B3D91"/>
          <w:sz w:val="22"/>
        </w:rPr>
        <w:t xml:space="preserve">•  </w:t>
      </w:r>
      <w:r>
        <w:rPr>
          <w:rFonts w:ascii="Calibri" w:hAnsi="Calibri"/>
          <w:b/>
          <w:i w:val="0"/>
          <w:sz w:val="22"/>
        </w:rPr>
        <w:t>Multilingual Translation:</w:t>
      </w:r>
      <w:r>
        <w:rPr>
          <w:rFonts w:ascii="Calibri" w:hAnsi="Calibri"/>
          <w:b w:val="0"/>
          <w:i w:val="0"/>
          <w:sz w:val="22"/>
        </w:rPr>
        <w:t xml:space="preserve"> Instant adaptation across 5 EU languages: English (🇬🇧), Italian (🇮🇹), Portuguese (🇵🇹), Finnish (🇫🇮), and Greek (🇬🇷).</w:t>
      </w:r>
    </w:p>
    <w:p>
      <w:pPr>
        <w:spacing w:after="40"/>
        <w:ind w:left="397"/>
      </w:pPr>
      <w:r>
        <w:rPr>
          <w:rFonts w:ascii="Calibri" w:hAnsi="Calibri"/>
          <w:b/>
          <w:color w:val="0B3D91"/>
          <w:sz w:val="22"/>
        </w:rPr>
        <w:t xml:space="preserve">•  </w:t>
      </w:r>
      <w:r>
        <w:rPr>
          <w:rFonts w:ascii="Calibri" w:hAnsi="Calibri"/>
          <w:b/>
          <w:i w:val="0"/>
          <w:sz w:val="22"/>
        </w:rPr>
        <w:t>Multimodal Outputs:</w:t>
      </w:r>
    </w:p>
    <w:p>
      <w:pPr>
        <w:spacing w:after="40"/>
        <w:ind w:left="397"/>
      </w:pPr>
      <w:r>
        <w:rPr>
          <w:rFonts w:ascii="Calibri" w:hAnsi="Calibri"/>
          <w:b/>
          <w:color w:val="0B3D91"/>
          <w:sz w:val="22"/>
        </w:rPr>
        <w:t xml:space="preserve">•  </w:t>
      </w:r>
      <w:r>
        <w:rPr>
          <w:rFonts w:ascii="Calibri" w:hAnsi="Calibri"/>
          <w:b/>
          <w:i w:val="0"/>
          <w:sz w:val="22"/>
        </w:rPr>
        <w:t>Plain Text Summary:</w:t>
      </w:r>
      <w:r>
        <w:rPr>
          <w:rFonts w:ascii="Calibri" w:hAnsi="Calibri"/>
          <w:b w:val="0"/>
          <w:i w:val="0"/>
          <w:sz w:val="22"/>
        </w:rPr>
        <w:t xml:space="preserve"> Easy-to-read structured sections.</w:t>
      </w:r>
    </w:p>
    <w:p>
      <w:pPr>
        <w:spacing w:after="40"/>
        <w:ind w:left="397"/>
      </w:pPr>
      <w:r>
        <w:rPr>
          <w:rFonts w:ascii="Calibri" w:hAnsi="Calibri"/>
          <w:b/>
          <w:color w:val="0B3D91"/>
          <w:sz w:val="22"/>
        </w:rPr>
        <w:t xml:space="preserve">•  </w:t>
      </w:r>
      <w:r>
        <w:rPr>
          <w:rFonts w:ascii="Calibri" w:hAnsi="Calibri"/>
          <w:b/>
          <w:i w:val="0"/>
          <w:sz w:val="22"/>
        </w:rPr>
        <w:t>Visual Medication Schedule:</w:t>
      </w:r>
      <w:r>
        <w:rPr>
          <w:rFonts w:ascii="Calibri" w:hAnsi="Calibri"/>
          <w:b w:val="0"/>
          <w:i w:val="0"/>
          <w:sz w:val="22"/>
        </w:rPr>
        <w:t xml:space="preserve"> Color-coded daily pill calendar.</w:t>
      </w:r>
    </w:p>
    <w:p>
      <w:pPr>
        <w:spacing w:after="40"/>
        <w:ind w:left="397"/>
      </w:pPr>
      <w:r>
        <w:rPr>
          <w:rFonts w:ascii="Calibri" w:hAnsi="Calibri"/>
          <w:b/>
          <w:color w:val="0B3D91"/>
          <w:sz w:val="22"/>
        </w:rPr>
        <w:t xml:space="preserve">•  </w:t>
      </w:r>
      <w:r>
        <w:rPr>
          <w:rFonts w:ascii="Calibri" w:hAnsi="Calibri"/>
          <w:b/>
          <w:i w:val="0"/>
          <w:sz w:val="22"/>
        </w:rPr>
        <w:t>Anatomical SVG Diagram:</w:t>
      </w:r>
      <w:r>
        <w:rPr>
          <w:rFonts w:ascii="Calibri" w:hAnsi="Calibri"/>
          <w:b w:val="0"/>
          <w:i w:val="0"/>
          <w:sz w:val="22"/>
        </w:rPr>
        <w:t xml:space="preserve"> Interactive visual anatomical reference.</w:t>
      </w:r>
    </w:p>
    <w:p>
      <w:pPr>
        <w:spacing w:after="40"/>
        <w:ind w:left="397"/>
      </w:pPr>
      <w:r>
        <w:rPr>
          <w:rFonts w:ascii="Calibri" w:hAnsi="Calibri"/>
          <w:b/>
          <w:color w:val="0B3D91"/>
          <w:sz w:val="22"/>
        </w:rPr>
        <w:t xml:space="preserve">•  </w:t>
      </w:r>
      <w:r>
        <w:rPr>
          <w:rFonts w:ascii="Calibri" w:hAnsi="Calibri"/>
          <w:b/>
          <w:i w:val="0"/>
          <w:sz w:val="22"/>
        </w:rPr>
        <w:t>Audio Text-to-Speech Engine:</w:t>
      </w:r>
      <w:r>
        <w:rPr>
          <w:rFonts w:ascii="Calibri" w:hAnsi="Calibri"/>
          <w:b w:val="0"/>
          <w:i w:val="0"/>
          <w:sz w:val="22"/>
        </w:rPr>
        <w:t xml:space="preserve"> Built-in voice readout for low-vision/elderly citizens.</w:t>
      </w:r>
    </w:p>
    <w:p>
      <w:pPr>
        <w:spacing w:after="40"/>
        <w:ind w:left="397"/>
      </w:pPr>
      <w:r>
        <w:rPr>
          <w:rFonts w:ascii="Calibri" w:hAnsi="Calibri"/>
          <w:b/>
          <w:color w:val="0B3D91"/>
          <w:sz w:val="22"/>
        </w:rPr>
        <w:t xml:space="preserve">•  </w:t>
      </w:r>
      <w:r>
        <w:rPr>
          <w:rFonts w:ascii="Calibri" w:hAnsi="Calibri"/>
          <w:b/>
          <w:i w:val="0"/>
          <w:sz w:val="22"/>
        </w:rPr>
        <w:t>Zero-Cloud Privacy Guarantee:</w:t>
      </w:r>
      <w:r>
        <w:rPr>
          <w:rFonts w:ascii="Calibri" w:hAnsi="Calibri"/>
          <w:b w:val="0"/>
          <w:i w:val="0"/>
          <w:sz w:val="22"/>
        </w:rPr>
        <w:t xml:space="preserve"> Local processing simulation with built-in network traffic audit panel proving 0 external API calls.</w:t>
      </w:r>
    </w:p>
    <w:p>
      <w:pPr>
        <w:pBdr>
          <w:bottom w:val="single" w:sz="8" w:space="1" w:color="0B3D91"/>
        </w:pBdr>
        <w:spacing w:after="120"/>
      </w:pPr>
    </w:p>
    <w:p>
      <w:pPr>
        <w:keepNext/>
        <w:spacing w:before="360" w:after="120"/>
      </w:pPr>
      <w:r>
        <w:rPr>
          <w:rFonts w:ascii="Calibri" w:hAnsi="Calibri"/>
          <w:b/>
          <w:i w:val="0"/>
          <w:color w:val="0B3D91"/>
          <w:sz w:val="36"/>
        </w:rPr>
        <w:t>🛠️ Installation &amp; Running Locally</w:t>
      </w:r>
    </w:p>
    <w:p>
      <w:pPr>
        <w:keepNext/>
        <w:spacing w:before="240" w:after="120"/>
      </w:pPr>
      <w:r>
        <w:rPr>
          <w:rFonts w:ascii="Calibri" w:hAnsi="Calibri"/>
          <w:b/>
          <w:i w:val="0"/>
          <w:color w:val="1F6FB5"/>
          <w:sz w:val="28"/>
        </w:rPr>
        <w:t>1. Prerequisites</w:t>
      </w:r>
    </w:p>
    <w:p>
      <w:pPr>
        <w:spacing w:after="40"/>
        <w:ind w:left="397"/>
      </w:pPr>
      <w:r>
        <w:rPr>
          <w:rFonts w:ascii="Calibri" w:hAnsi="Calibri"/>
          <w:b/>
          <w:color w:val="0B3D91"/>
          <w:sz w:val="22"/>
        </w:rPr>
        <w:t xml:space="preserve">•  </w:t>
      </w:r>
      <w:r>
        <w:rPr>
          <w:rFonts w:ascii="Calibri" w:hAnsi="Calibri"/>
          <w:b w:val="0"/>
          <w:i w:val="0"/>
          <w:sz w:val="22"/>
        </w:rPr>
        <w:t>Python 3.9+</w:t>
      </w:r>
    </w:p>
    <w:p>
      <w:pPr>
        <w:spacing w:after="40"/>
        <w:ind w:left="397"/>
      </w:pPr>
      <w:r>
        <w:rPr>
          <w:rFonts w:ascii="Calibri" w:hAnsi="Calibri"/>
          <w:b/>
          <w:color w:val="0B3D91"/>
          <w:sz w:val="22"/>
        </w:rPr>
        <w:t xml:space="preserve">•  </w:t>
      </w:r>
      <w:r>
        <w:rPr>
          <w:rFonts w:ascii="Calibri" w:hAnsi="Calibri"/>
          <w:b w:val="0"/>
          <w:i w:val="0"/>
          <w:sz w:val="22"/>
        </w:rPr>
        <w:t>Streamlit</w:t>
      </w:r>
    </w:p>
    <w:p>
      <w:pPr>
        <w:keepNext/>
        <w:spacing w:before="240" w:after="120"/>
      </w:pPr>
      <w:r>
        <w:rPr>
          <w:rFonts w:ascii="Calibri" w:hAnsi="Calibri"/>
          <w:b/>
          <w:i w:val="0"/>
          <w:color w:val="1F6FB5"/>
          <w:sz w:val="28"/>
        </w:rPr>
        <w:t>2. Install Dependencies</w:t>
      </w:r>
    </w:p>
    <w:p>
      <w:pPr>
        <w:spacing w:before="120" w:after="120"/>
        <w:ind w:left="227" w:right="227"/>
        <w:shd w:val="clear" w:color="auto" w:fill="F4F4F4"/>
        <w:pBdr>
          <w:left w:val="single" w:sz="16" w:space="8" w:color="B0B0B0"/>
        </w:pBdr>
      </w:pPr>
      <w:r>
        <w:rPr>
          <w:rFonts w:ascii="Consolas" w:hAnsi="Consolas"/>
          <w:color w:val="2C2C2C"/>
          <w:sz w:val="19"/>
        </w:rPr>
        <w:t>pip install -r requirements.txt</w:t>
      </w:r>
    </w:p>
    <w:p>
      <w:pPr>
        <w:keepNext/>
        <w:spacing w:before="240" w:after="120"/>
      </w:pPr>
      <w:r>
        <w:rPr>
          <w:rFonts w:ascii="Calibri" w:hAnsi="Calibri"/>
          <w:b/>
          <w:i w:val="0"/>
          <w:color w:val="1F6FB5"/>
          <w:sz w:val="28"/>
        </w:rPr>
        <w:t>3. Launch the Application</w:t>
      </w:r>
    </w:p>
    <w:p>
      <w:pPr>
        <w:spacing w:before="120" w:after="120"/>
        <w:ind w:left="227" w:right="227"/>
        <w:shd w:val="clear" w:color="auto" w:fill="F4F4F4"/>
        <w:pBdr>
          <w:left w:val="single" w:sz="16" w:space="8" w:color="B0B0B0"/>
        </w:pBdr>
      </w:pPr>
      <w:r>
        <w:rPr>
          <w:rFonts w:ascii="Consolas" w:hAnsi="Consolas"/>
          <w:color w:val="2C2C2C"/>
          <w:sz w:val="19"/>
        </w:rPr>
        <w:t>streamlit run app.py</w:t>
      </w:r>
    </w:p>
    <w:p>
      <w:pPr>
        <w:spacing w:after="120"/>
        <w:jc w:val="both"/>
      </w:pPr>
      <w:r>
        <w:rPr>
          <w:rFonts w:ascii="Calibri" w:hAnsi="Calibri"/>
          <w:b w:val="0"/>
          <w:i w:val="0"/>
          <w:sz w:val="22"/>
        </w:rPr>
        <w:t xml:space="preserve">Open your browser at </w:t>
      </w:r>
      <w:r>
        <w:rPr>
          <w:rFonts w:ascii="Consolas" w:hAnsi="Consolas"/>
          <w:b w:val="0"/>
          <w:i w:val="0"/>
          <w:color w:val="B03030"/>
          <w:sz w:val="20"/>
        </w:rPr>
        <w:t>http://localhost:8501</w:t>
      </w:r>
      <w:r>
        <w:rPr>
          <w:rFonts w:ascii="Calibri" w:hAnsi="Calibri"/>
          <w:b w:val="0"/>
          <w:i w:val="0"/>
          <w:sz w:val="22"/>
        </w:rPr>
        <w:t xml:space="preserve"> to test the live demonstration!</w:t>
      </w:r>
    </w:p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24" w:lineRule="auto"/>
    </w:pPr>
    <w:rPr>
      <w:rFonts w:ascii="Calibri" w:hAnsi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