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Cavalieri Align — v2 Architecture Plan Sign-Off Declaration</w:t>
      </w:r>
    </w:p>
    <w:p>
      <w:r>
        <w:t>Date: 2026-02-19</w:t>
      </w:r>
    </w:p>
    <w:p>
      <w:r>
        <w:t>Document: Cavalieri_Align_v2_Architecture_Plan_v0.2.docx</w:t>
      </w:r>
    </w:p>
    <w:p>
      <w:r>
        <w:t>Audience: Development (Claude), internal stakeholders, incubator/VC technical diligence (as needed)</w:t>
        <w:br/>
      </w:r>
    </w:p>
    <w:p>
      <w:pPr>
        <w:pStyle w:val="Heading2"/>
      </w:pPr>
      <w:r>
        <w:t>1. Purpose</w:t>
      </w:r>
    </w:p>
    <w:p>
      <w:r>
        <w:t>This declaration records approval of the v2 architecture plan and confirms its alignment with the canonical CAV maturity roadmap. It also defines scope guardrails to prevent unintended drift into higher CAV levels.</w:t>
      </w:r>
    </w:p>
    <w:p>
      <w:pPr>
        <w:pStyle w:val="Heading2"/>
      </w:pPr>
      <w:r>
        <w:t>2. Approval Scope</w:t>
      </w:r>
    </w:p>
    <w:p>
      <w:r>
        <w:t>Approved target capability for v2:</w:t>
        <w:br/>
        <w:t>- CAV Level 3: Intent Registry (versioned, time-addressable intent artifacts)</w:t>
        <w:br/>
        <w:t>- CAV Level 4: Formal Alignment Deltas + Envelopes (deterministic, bounded deltas with explainable breach events)</w:t>
        <w:br/>
      </w:r>
    </w:p>
    <w:p>
      <w:pPr>
        <w:pStyle w:val="Heading2"/>
      </w:pPr>
      <w:r>
        <w:t>3. Key Plan Constraints (Guardrails)</w:t>
      </w:r>
    </w:p>
    <w:p>
      <w:r>
        <w:t>The v2 plan explicitly excludes and must not implement or market:</w:t>
        <w:br/>
        <w:t>- Level 5: Drift velocity of formal deltas (V_k(t) = d/dt Δ_k(t))</w:t>
        <w:br/>
        <w:t>- Level 6: Convergence enforcement / closed-loop reconciliation</w:t>
        <w:br/>
        <w:t>- “Full CAV Compliance” claims</w:t>
        <w:br/>
        <w:br/>
        <w:t>Convergence actions in v2 are measurement-only:</w:t>
        <w:br/>
        <w:t>- User-logged only</w:t>
        <w:br/>
        <w:t>- No automatic triggers</w:t>
        <w:br/>
        <w:t>- No remediation hooks/webhooks/adapters in v2</w:t>
      </w:r>
    </w:p>
    <w:p>
      <w:pPr>
        <w:pStyle w:val="Heading2"/>
      </w:pPr>
      <w:r>
        <w:t>4. Correctness &amp; Maintainability Requirements</w:t>
      </w:r>
    </w:p>
    <w:p>
      <w:r>
        <w:t>v2 must maintain:</w:t>
        <w:br/>
        <w:t>- Deterministic, bounded delta computation with explicit handling rules</w:t>
        <w:br/>
        <w:t>- Explainability requirements for delta_detail (field paths, expected vs observed, counts, reasons)</w:t>
        <w:br/>
        <w:t>- Schema versioning for intent definitions (schemaVersion) with versioned parsers</w:t>
        <w:br/>
        <w:t>- Unambiguous topic scope semantics (MQTT wildcards, ingest-time matching, precedence rules)</w:t>
      </w:r>
    </w:p>
    <w:p>
      <w:pPr>
        <w:pStyle w:val="Heading2"/>
      </w:pPr>
      <w:r>
        <w:t>5. Enterprise Architecture Continuity</w:t>
      </w:r>
    </w:p>
    <w:p>
      <w:r>
        <w:t>v2 implementation must preserve the proven enterprise hardening contract from v1:</w:t>
        <w:br/>
        <w:t>- Middleware-attached TenantContext</w:t>
        <w:br/>
        <w:t>- Store layer is the single persistence boundary</w:t>
        <w:br/>
        <w:t>- Engines remain pure (no direct database calls)</w:t>
        <w:br/>
        <w:t>- Secure WebSockets and rate limiting</w:t>
        <w:br/>
        <w:t>- Encrypted secrets at rest</w:t>
      </w:r>
    </w:p>
    <w:p>
      <w:pPr>
        <w:pStyle w:val="Heading2"/>
      </w:pPr>
      <w:r>
        <w:t>6. Sign-Off Statement</w:t>
      </w:r>
    </w:p>
    <w:p>
      <w:r>
        <w:t>Based on review of v0.2, the v2 architecture plan is approved to proceed to implementation.</w:t>
        <w:br/>
        <w:t>This approval is contingent on adherence to the guardrails above and the consolidated CAV Levels Roadmap.</w:t>
      </w:r>
    </w:p>
    <w:p>
      <w:r>
        <w:br/>
        <w:t>Approved by: ____________________________</w:t>
      </w:r>
    </w:p>
    <w:p>
      <w:r>
        <w:t>Role: Marketing / Technical Review</w:t>
      </w:r>
    </w:p>
    <w:p>
      <w:r>
        <w:t>Date: 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