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F2937"/>
          <w:sz w:val="52"/>
          <w:szCs w:val="52"/>
        </w:rPr>
        <w:t xml:space="preserve">Cavalieri Align</w:t>
      </w:r>
    </w:p>
    <w:p>
      <w:pPr>
        <w:spacing w:before="0" w:after="80"/>
      </w:pPr>
      <w:r>
        <w:rPr>
          <w:rFonts w:ascii="Arial" w:cs="Arial" w:eastAsia="Arial" w:hAnsi="Arial"/>
          <w:color w:val="2563EB"/>
          <w:sz w:val="36"/>
          <w:szCs w:val="36"/>
        </w:rPr>
        <w:t xml:space="preserve">Operations Runbook</w:t>
      </w:r>
    </w:p>
    <w:p>
      <w:pPr>
        <w:spacing w:before="0" w:after="60"/>
      </w:pPr>
      <w:r>
        <w:rPr>
          <w:rFonts w:ascii="Arial" w:cs="Arial" w:eastAsia="Arial" w:hAnsi="Arial"/>
          <w:color w:val="6B7280"/>
          <w:sz w:val="22"/>
          <w:szCs w:val="22"/>
        </w:rPr>
        <w:t xml:space="preserve">Environment Configuration · Deployment · Secret Rotation · Incident Response</w:t>
      </w:r>
    </w:p>
    <w:p>
      <w:pPr>
        <w:spacing w:before="0" w:after="240"/>
      </w:pPr>
      <w:r>
        <w:rPr>
          <w:rFonts w:ascii="Arial" w:cs="Arial" w:eastAsia="Arial" w:hAnsi="Arial"/>
          <w:color w:val="6B7280"/>
          <w:sz w:val="20"/>
          <w:szCs w:val="20"/>
        </w:rPr>
        <w:t xml:space="preserve">Version: 1.0     Date: 2026-02-20     Status: Live</w:t>
      </w:r>
    </w:p>
    <w:p>
      <w:pPr>
        <w:pBdr>
          <w:left w:val="single" w:color="2563EB" w:sz="12" w:space="6"/>
        </w:pBdr>
        <w:shd w:fill="DBEAFE" w:val="clear"/>
        <w:spacing w:before="100" w:after="100"/>
        <w:ind w:left="360" w:right="360"/>
      </w:pPr>
      <w:r>
        <w:rPr>
          <w:rFonts w:ascii="Arial" w:cs="Arial" w:eastAsia="Arial" w:hAnsi="Arial"/>
          <w:i/>
          <w:iCs/>
          <w:color w:val="1F2937"/>
          <w:sz w:val="20"/>
          <w:szCs w:val="20"/>
        </w:rPr>
        <w:t xml:space="preserve">This document is the authoritative operations reference for Cavalieri Align. It is referenced by the CAV Levels Roadmap (Section 7) and the Security Baseline Standard. Update this document whenever environment or deployment procedures change.</w:t>
      </w:r>
    </w:p>
    <w:p>
      <w:pPr>
        <w:pBdr>
          <w:bottom w:val="single" w:color="CBD5E1" w:sz="4" w:space="1"/>
        </w:pBdr>
        <w:spacing w:before="120" w:after="120"/>
      </w:pPr>
    </w:p>
    <w:p>
      <w:pPr>
        <w:pStyle w:val="Heading1"/>
      </w:pPr>
      <w:r>
        <w:rPr>
          <w:rFonts w:ascii="Arial" w:cs="Arial" w:eastAsia="Arial" w:hAnsi="Arial"/>
          <w:b/>
          <w:bCs/>
          <w:color w:val="1F2937"/>
          <w:sz w:val="32"/>
          <w:szCs w:val="32"/>
        </w:rPr>
        <w:t xml:space="preserve">1. Environments</w:t>
      </w:r>
    </w:p>
    <w:p>
      <w:pPr>
        <w:spacing w:before="60" w:after="80"/>
      </w:pPr>
      <w:r>
        <w:rPr>
          <w:rFonts w:ascii="Arial" w:cs="Arial" w:eastAsia="Arial" w:hAnsi="Arial"/>
          <w:color w:val="1F2937"/>
          <w:sz w:val="22"/>
          <w:szCs w:val="22"/>
        </w:rPr>
        <w:t xml:space="preserve">Cavalieri Align operates across three environments. Each has a distinct purpose and access level.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1800"/>
        <w:gridCol w:w="1560"/>
      </w:tblGrid>
      <w:tr>
        <w:tc>
          <w:tcPr>
            <w:tcW w:type="dxa" w:w="180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180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Supabase Project</w:t>
            </w:r>
          </w:p>
        </w:tc>
        <w:tc>
          <w:tcPr>
            <w:tcW w:type="dxa" w:w="240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156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Development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cav-align-dev (free)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Active development. Throwaway data.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Developer only</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Optional</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Staging</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cav-align-staging</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Migration testing. Design partner pilots.</w:t>
            </w:r>
          </w:p>
        </w:tc>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Internal + pilots</w:t>
            </w:r>
          </w:p>
        </w:tc>
        <w:tc>
          <w:tcPr>
            <w:tcW w:type="dxa" w:w="1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059669"/>
                <w:sz w:val="20"/>
                <w:szCs w:val="20"/>
              </w:rPr>
              <w:t xml:space="preserve">Required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Production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6B7280"/>
                <w:sz w:val="20"/>
                <w:szCs w:val="20"/>
              </w:rPr>
              <w:t xml:space="preserve">cav-align-prod (May 2026)</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Paying customers.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Customers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59669"/>
                <w:sz w:val="20"/>
                <w:szCs w:val="20"/>
              </w:rPr>
              <w:t xml:space="preserve">Required</w:t>
            </w:r>
          </w:p>
        </w:tc>
      </w:tr>
    </w:tbl>
    <w:p/>
    <w:p>
      <w:pPr>
        <w:pBdr>
          <w:left w:val="single" w:color="D97706" w:sz="12" w:space="6"/>
        </w:pBdr>
        <w:shd w:fill="EFF6FF" w:val="clear"/>
        <w:spacing w:before="100" w:after="100"/>
        <w:ind w:left="360" w:right="360"/>
      </w:pPr>
      <w:r>
        <w:t>Until the TBD Supabase Pro upgrade: staging serves as the live environment for design partner pilots. Production project does not yet exist. Free tier projects pause after 1 week of inactivity — keep staging active during pilot periods.</w:t>
      </w:r>
    </w:p>
    <w:p/>
    <w:p>
      <w:pPr>
        <w:pStyle w:val="Heading2"/>
        <w:spacing w:before="240" w:after="80"/>
      </w:pPr>
      <w:r>
        <w:rPr>
          <w:rFonts w:ascii="Arial" w:cs="Arial" w:eastAsia="Arial" w:hAnsi="Arial"/>
          <w:b/>
          <w:bCs/>
          <w:color w:val="2563EB"/>
          <w:sz w:val="26"/>
          <w:szCs w:val="26"/>
        </w:rPr>
        <w:t xml:space="preserve">1.1 Migration Run Order</w:t>
      </w:r>
    </w:p>
    <w:p>
      <w:pPr>
        <w:spacing w:before="60" w:after="80"/>
      </w:pPr>
      <w:r>
        <w:rPr>
          <w:rFonts w:ascii="Arial" w:cs="Arial" w:eastAsia="Arial" w:hAnsi="Arial"/>
          <w:color w:val="1F2937"/>
          <w:sz w:val="22"/>
          <w:szCs w:val="22"/>
        </w:rPr>
        <w:t xml:space="preserve">Always run database migrations in this order. Never skip staging.</w:t>
      </w:r>
    </w:p>
    <w:p/>
    <w:p>
      <w:pPr>
        <w:spacing w:before="80" w:after="20"/>
        <w:ind w:left="360"/>
      </w:pPr>
      <w:r>
        <w:rPr>
          <w:rFonts w:ascii="Arial" w:cs="Arial" w:eastAsia="Arial" w:hAnsi="Arial"/>
          <w:b/>
          <w:bCs/>
          <w:color w:val="2563EB"/>
          <w:sz w:val="22"/>
          <w:szCs w:val="22"/>
        </w:rPr>
        <w:t xml:space="preserve">Step 1  </w:t>
      </w:r>
      <w:r>
        <w:rPr>
          <w:rFonts w:ascii="Arial" w:cs="Arial" w:eastAsia="Arial" w:hAnsi="Arial"/>
          <w:b/>
          <w:bCs/>
          <w:color w:val="1F2937"/>
          <w:sz w:val="22"/>
          <w:szCs w:val="22"/>
        </w:rPr>
        <w:t xml:space="preserve">Development</w:t>
      </w:r>
      <w:r>
        <w:rPr>
          <w:rFonts w:ascii="Arial" w:cs="Arial" w:eastAsia="Arial" w:hAnsi="Arial"/>
          <w:color w:val="6B7280"/>
          <w:sz w:val="20"/>
          <w:szCs w:val="20"/>
        </w:rPr>
        <w:t xml:space="preserve">  — run and verify locally</w:t>
      </w:r>
    </w:p>
    <w:p>
      <w:pPr>
        <w:spacing w:before="80" w:after="20"/>
        <w:ind w:left="360"/>
      </w:pPr>
      <w:r>
        <w:rPr>
          <w:rFonts w:ascii="Arial" w:cs="Arial" w:eastAsia="Arial" w:hAnsi="Arial"/>
          <w:b/>
          <w:bCs/>
          <w:color w:val="2563EB"/>
          <w:sz w:val="22"/>
          <w:szCs w:val="22"/>
        </w:rPr>
        <w:t xml:space="preserve">Step 2  </w:t>
      </w:r>
      <w:r>
        <w:rPr>
          <w:rFonts w:ascii="Arial" w:cs="Arial" w:eastAsia="Arial" w:hAnsi="Arial"/>
          <w:b/>
          <w:bCs/>
          <w:color w:val="1F2937"/>
          <w:sz w:val="22"/>
          <w:szCs w:val="22"/>
        </w:rPr>
        <w:t xml:space="preserve">Staging</w:t>
      </w:r>
      <w:r>
        <w:rPr>
          <w:rFonts w:ascii="Arial" w:cs="Arial" w:eastAsia="Arial" w:hAnsi="Arial"/>
          <w:color w:val="6B7280"/>
          <w:sz w:val="20"/>
          <w:szCs w:val="20"/>
        </w:rPr>
        <w:t xml:space="preserve">  — verify prerequisites, then grant external access</w:t>
      </w:r>
    </w:p>
    <w:p>
      <w:pPr>
        <w:spacing w:before="80" w:after="20"/>
        <w:ind w:left="360"/>
      </w:pPr>
      <w:r>
        <w:rPr>
          <w:rFonts w:ascii="Arial" w:cs="Arial" w:eastAsia="Arial" w:hAnsi="Arial"/>
          <w:b/>
          <w:bCs/>
          <w:color w:val="2563EB"/>
          <w:sz w:val="22"/>
          <w:szCs w:val="22"/>
        </w:rPr>
        <w:t xml:space="preserve">Step 3  </w:t>
      </w:r>
      <w:r>
        <w:rPr>
          <w:rFonts w:ascii="Arial" w:cs="Arial" w:eastAsia="Arial" w:hAnsi="Arial"/>
          <w:b/>
          <w:bCs/>
          <w:color w:val="1F2937"/>
          <w:sz w:val="22"/>
          <w:szCs w:val="22"/>
        </w:rPr>
        <w:t xml:space="preserve">Production</w:t>
      </w:r>
      <w:r>
        <w:rPr>
          <w:rFonts w:ascii="Arial" w:cs="Arial" w:eastAsia="Arial" w:hAnsi="Arial"/>
          <w:color w:val="6B7280"/>
          <w:sz w:val="20"/>
          <w:szCs w:val="20"/>
        </w:rPr>
        <w:t xml:space="preserve">  — only after staging is clean</w:t>
      </w:r>
    </w:p>
    <w:p/>
    <w:p>
      <w:pPr>
        <w:pStyle w:val="Heading2"/>
        <w:spacing w:before="240" w:after="80"/>
      </w:pPr>
      <w:r>
        <w:rPr>
          <w:rFonts w:ascii="Arial" w:cs="Arial" w:eastAsia="Arial" w:hAnsi="Arial"/>
          <w:b/>
          <w:bCs/>
          <w:color w:val="2563EB"/>
          <w:sz w:val="26"/>
          <w:szCs w:val="26"/>
        </w:rPr>
        <w:t xml:space="preserve">1.2 Environment Variables</w:t>
      </w:r>
    </w:p>
    <w:p>
      <w:pPr>
        <w:spacing w:before="60" w:after="80"/>
      </w:pPr>
      <w:r>
        <w:rPr>
          <w:rFonts w:ascii="Arial" w:cs="Arial" w:eastAsia="Arial" w:hAnsi="Arial"/>
          <w:color w:val="1F2937"/>
          <w:sz w:val="22"/>
          <w:szCs w:val="22"/>
        </w:rPr>
        <w:t xml:space="preserve">Each environment requires a .env file (never committed to git). The template is at apps/align-api/.env.example in the repository.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36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Where to find it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SUPABASE_URL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Your Supabase project URL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Dashboard → Settings → API</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SUPABASE_ANON_KEY</w:t>
            </w:r>
          </w:p>
        </w:tc>
        <w:tc>
          <w:tcPr>
            <w:tcW w:type="dxa" w:w="4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Public key — user-scoped queries</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Dashboard → Settings → API → anon/public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SUPABASE_SERVICE_ROLE_KEY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Secret key — bypasses RLS. Keep secret.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DC2626"/>
                <w:sz w:val="20"/>
                <w:szCs w:val="20"/>
              </w:rPr>
              <w:t xml:space="preserve">Dashboard → Settings → API → service_role</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CREDENTIAL_ENCRYPTION_KEY</w:t>
            </w:r>
          </w:p>
        </w:tc>
        <w:tc>
          <w:tcPr>
            <w:tcW w:type="dxa" w:w="4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64 hex chars. Encrypts broker passwords at rest.</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Generate — see Section 3</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REQUIRE_AUTH</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true in staging/prod. false allowed in dev only.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Set manually per environment</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NODE_ENV</w:t>
            </w:r>
          </w:p>
        </w:tc>
        <w:tc>
          <w:tcPr>
            <w:tcW w:type="dxa" w:w="4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development | production</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Set manually per environment</w:t>
            </w:r>
          </w:p>
        </w:tc>
      </w:tr>
    </w:tbl>
    <w:p/>
    <w:p>
      <w:pPr>
        <w:pStyle w:val="Heading1"/>
        <w:pageBreakBefore/>
      </w:pPr>
      <w:r>
        <w:rPr>
          <w:rFonts w:ascii="Arial" w:cs="Arial" w:eastAsia="Arial" w:hAnsi="Arial"/>
          <w:b/>
          <w:bCs/>
          <w:color w:val="1F2937"/>
          <w:sz w:val="32"/>
          <w:szCs w:val="32"/>
        </w:rPr>
        <w:t xml:space="preserve">2. Database Setup and Migrations</w:t>
      </w:r>
    </w:p>
    <w:p>
      <w:pPr>
        <w:pStyle w:val="Heading2"/>
        <w:spacing w:before="240" w:after="80"/>
      </w:pPr>
      <w:r>
        <w:rPr>
          <w:rFonts w:ascii="Arial" w:cs="Arial" w:eastAsia="Arial" w:hAnsi="Arial"/>
          <w:b/>
          <w:bCs/>
          <w:color w:val="2563EB"/>
          <w:sz w:val="26"/>
          <w:szCs w:val="26"/>
        </w:rPr>
        <w:t xml:space="preserve">2.1 Initial Setup (new environment)</w:t>
      </w:r>
    </w:p>
    <w:p>
      <w:pPr>
        <w:spacing w:before="60" w:after="80"/>
      </w:pPr>
      <w:r>
        <w:rPr>
          <w:rFonts w:ascii="Arial" w:cs="Arial" w:eastAsia="Arial" w:hAnsi="Arial"/>
          <w:color w:val="1F2937"/>
          <w:sz w:val="22"/>
          <w:szCs w:val="22"/>
        </w:rPr>
        <w:t xml:space="preserve">Use the complete schema script to create a clean database from scratch. This script wipes all existing tables and recreates them — only run on a fresh or development project.</w:t>
      </w:r>
    </w:p>
    <w:p/>
    <w:p>
      <w:pPr>
        <w:spacing w:before="80" w:after="80"/>
        <w:ind w:left="360"/>
      </w:pPr>
      <w:r>
        <w:rPr>
          <w:rFonts w:ascii="Arial" w:cs="Arial" w:eastAsia="Arial" w:hAnsi="Arial"/>
          <w:b/>
          <w:bCs/>
          <w:color w:val="2563EB"/>
          <w:sz w:val="22"/>
          <w:szCs w:val="22"/>
        </w:rPr>
        <w:t xml:space="preserve">Step 1  </w:t>
      </w:r>
      <w:r>
        <w:rPr>
          <w:rFonts w:ascii="Arial" w:cs="Arial" w:eastAsia="Arial" w:hAnsi="Arial"/>
          <w:b/>
          <w:bCs/>
          <w:color w:val="1F2937"/>
          <w:sz w:val="22"/>
          <w:szCs w:val="22"/>
        </w:rPr>
        <w:t xml:space="preserve">Open Supabase dashboard for the target project</w:t>
      </w:r>
    </w:p>
    <w:p>
      <w:pPr>
        <w:spacing w:before="80" w:after="80"/>
        <w:ind w:left="360"/>
      </w:pPr>
      <w:r>
        <w:rPr>
          <w:rFonts w:ascii="Arial" w:cs="Arial" w:eastAsia="Arial" w:hAnsi="Arial"/>
          <w:b/>
          <w:bCs/>
          <w:color w:val="2563EB"/>
          <w:sz w:val="22"/>
          <w:szCs w:val="22"/>
        </w:rPr>
        <w:t xml:space="preserve">Step 2  </w:t>
      </w:r>
      <w:r>
        <w:rPr>
          <w:rFonts w:ascii="Arial" w:cs="Arial" w:eastAsia="Arial" w:hAnsi="Arial"/>
          <w:b/>
          <w:bCs/>
          <w:color w:val="1F2937"/>
          <w:sz w:val="22"/>
          <w:szCs w:val="22"/>
        </w:rPr>
        <w:t xml:space="preserve">SQL Editor → New query</w:t>
      </w:r>
    </w:p>
    <w:p>
      <w:pPr>
        <w:spacing w:before="80" w:after="80"/>
        <w:ind w:left="360"/>
      </w:pPr>
      <w:r>
        <w:rPr>
          <w:rFonts w:ascii="Arial" w:cs="Arial" w:eastAsia="Arial" w:hAnsi="Arial"/>
          <w:b/>
          <w:bCs/>
          <w:color w:val="2563EB"/>
          <w:sz w:val="22"/>
          <w:szCs w:val="22"/>
        </w:rPr>
        <w:t xml:space="preserve">Step 3  </w:t>
      </w:r>
      <w:r>
        <w:rPr>
          <w:rFonts w:ascii="Arial" w:cs="Arial" w:eastAsia="Arial" w:hAnsi="Arial"/>
          <w:b/>
          <w:bCs/>
          <w:color w:val="1F2937"/>
          <w:sz w:val="22"/>
          <w:szCs w:val="22"/>
        </w:rPr>
        <w:t xml:space="preserve">Paste supabase/migrations/00000000000000_cav_align_complete_schema.sql → Run</w:t>
      </w:r>
    </w:p>
    <w:p>
      <w:pPr>
        <w:spacing w:before="80" w:after="80"/>
        <w:ind w:left="360"/>
      </w:pPr>
      <w:r>
        <w:rPr>
          <w:rFonts w:ascii="Arial" w:cs="Arial" w:eastAsia="Arial" w:hAnsi="Arial"/>
          <w:b/>
          <w:bCs/>
          <w:color w:val="2563EB"/>
          <w:sz w:val="22"/>
          <w:szCs w:val="22"/>
        </w:rPr>
        <w:t xml:space="preserve">Step 4  </w:t>
      </w:r>
      <w:r>
        <w:rPr>
          <w:rFonts w:ascii="Arial" w:cs="Arial" w:eastAsia="Arial" w:hAnsi="Arial"/>
          <w:b/>
          <w:bCs/>
          <w:color w:val="1F2937"/>
          <w:sz w:val="22"/>
          <w:szCs w:val="22"/>
        </w:rPr>
        <w:t xml:space="preserve">Verify: run the three verification queries at the bottom of that file</w:t>
      </w:r>
    </w:p>
    <w:p/>
    <w:p>
      <w:pPr>
        <w:spacing w:before="60" w:after="80"/>
      </w:pPr>
      <w:r>
        <w:rPr>
          <w:rFonts w:ascii="Arial" w:cs="Arial" w:eastAsia="Arial" w:hAnsi="Arial"/>
          <w:b/>
          <w:bCs/>
          <w:color w:val="1F2937"/>
          <w:sz w:val="22"/>
          <w:szCs w:val="22"/>
        </w:rPr>
        <w:t xml:space="preserve">Expected verification results:</w:t>
      </w:r>
    </w:p>
    <w:p>
      <w:pPr>
        <w:pStyle w:val="ListParagraph"/>
        <w:numPr>
          <w:ilvl w:val="0"/>
          <w:numId w:val="2"/>
        </w:numPr>
        <w:spacing w:before="40" w:after="40"/>
      </w:pPr>
      <w:r>
        <w:rPr>
          <w:rFonts w:ascii="Arial" w:cs="Arial" w:eastAsia="Arial" w:hAnsi="Arial"/>
          <w:b w:val="false"/>
          <w:bCs w:val="false"/>
          <w:color w:val="1F2937"/>
          <w:sz w:val="22"/>
          <w:szCs w:val="22"/>
        </w:rPr>
        <w:t xml:space="preserve">Query 1: exactly 14 rows — one per table</w:t>
      </w:r>
    </w:p>
    <w:p>
      <w:pPr>
        <w:pStyle w:val="ListParagraph"/>
        <w:numPr>
          <w:ilvl w:val="0"/>
          <w:numId w:val="2"/>
        </w:numPr>
        <w:spacing w:before="40" w:after="40"/>
      </w:pPr>
      <w:r>
        <w:rPr>
          <w:rFonts w:ascii="Arial" w:cs="Arial" w:eastAsia="Arial" w:hAnsi="Arial"/>
          <w:b w:val="false"/>
          <w:bCs w:val="false"/>
          <w:color w:val="1F2937"/>
          <w:sz w:val="22"/>
          <w:szCs w:val="22"/>
        </w:rPr>
        <w:t xml:space="preserve">Query 2: all 14 rows show rowsecurity = true</w:t>
      </w:r>
    </w:p>
    <w:p>
      <w:pPr>
        <w:pStyle w:val="ListParagraph"/>
        <w:numPr>
          <w:ilvl w:val="0"/>
          <w:numId w:val="2"/>
        </w:numPr>
        <w:spacing w:before="40" w:after="40"/>
      </w:pPr>
      <w:r>
        <w:rPr>
          <w:rFonts w:ascii="Arial" w:cs="Arial" w:eastAsia="Arial" w:hAnsi="Arial"/>
          <w:b w:val="false"/>
          <w:bCs w:val="false"/>
          <w:color w:val="1F2937"/>
          <w:sz w:val="22"/>
          <w:szCs w:val="22"/>
        </w:rPr>
        <w:t xml:space="preserve">Query 3: exactly 2 rows — the two partial unique indexes</w:t>
      </w:r>
    </w:p>
    <w:p/>
    <w:p>
      <w:pPr>
        <w:pStyle w:val="Heading2"/>
        <w:spacing w:before="240" w:after="80"/>
      </w:pPr>
      <w:r>
        <w:rPr>
          <w:rFonts w:ascii="Arial" w:cs="Arial" w:eastAsia="Arial" w:hAnsi="Arial"/>
          <w:b/>
          <w:bCs/>
          <w:color w:val="2563EB"/>
          <w:sz w:val="26"/>
          <w:szCs w:val="26"/>
        </w:rPr>
        <w:t xml:space="preserve">2.2 Incremental Migrations (existing environment)</w:t>
      </w:r>
    </w:p>
    <w:p>
      <w:pPr>
        <w:spacing w:before="60" w:after="80"/>
      </w:pPr>
      <w:r>
        <w:rPr>
          <w:rFonts w:ascii="Arial" w:cs="Arial" w:eastAsia="Arial" w:hAnsi="Arial"/>
          <w:color w:val="1F2937"/>
          <w:sz w:val="22"/>
          <w:szCs w:val="22"/>
        </w:rPr>
        <w:t xml:space="preserve">For future schema changes, add a new numbered SQL file to supabase/migrations/ and run it via the Supabase CLI or SQL Editor. Never modify existing migration files.</w:t>
      </w:r>
    </w:p>
    <w:p/>
    <w:p>
      <w:pPr>
        <w:spacing w:before="60" w:after="80"/>
      </w:pPr>
      <w:r>
        <w:rPr>
          <w:rFonts w:ascii="Arial" w:cs="Arial" w:eastAsia="Arial" w:hAnsi="Arial"/>
          <w:color w:val="1F2937"/>
          <w:sz w:val="22"/>
          <w:szCs w:val="22"/>
        </w:rPr>
        <w:t xml:space="preserve">Via Supabase CLI (recommended once CLI is configured):</w:t>
      </w:r>
    </w:p>
    <w:p>
      <w:pPr>
        <w:shd w:fill="F1F5F9" w:val="clear"/>
        <w:spacing w:before="60" w:after="60"/>
        <w:ind w:left="360" w:right="360"/>
      </w:pPr>
      <w:r>
        <w:rPr>
          <w:rFonts w:ascii="Courier New" w:cs="Courier New" w:eastAsia="Courier New" w:hAnsi="Courier New"/>
          <w:color w:val="1F2937"/>
          <w:sz w:val="18"/>
          <w:szCs w:val="18"/>
        </w:rPr>
        <w:t xml:space="preserve">supabase link --project-ref &lt;project-ref&gt;</w:t>
      </w:r>
    </w:p>
    <w:p>
      <w:pPr>
        <w:shd w:fill="F1F5F9" w:val="clear"/>
        <w:spacing w:before="60" w:after="60"/>
        <w:ind w:left="360" w:right="360"/>
      </w:pPr>
      <w:r>
        <w:rPr>
          <w:rFonts w:ascii="Courier New" w:cs="Courier New" w:eastAsia="Courier New" w:hAnsi="Courier New"/>
          <w:color w:val="1F2937"/>
          <w:sz w:val="18"/>
          <w:szCs w:val="18"/>
        </w:rPr>
        <w:t xml:space="preserve">supabase db push</w:t>
      </w:r>
    </w:p>
    <w:p/>
    <w:p>
      <w:pPr>
        <w:spacing w:before="60" w:after="80"/>
      </w:pPr>
      <w:r>
        <w:rPr>
          <w:rFonts w:ascii="Arial" w:cs="Arial" w:eastAsia="Arial" w:hAnsi="Arial"/>
          <w:color w:val="1F2937"/>
          <w:sz w:val="22"/>
          <w:szCs w:val="22"/>
        </w:rPr>
        <w:t xml:space="preserve">Via SQL Editor: paste the new migration file content and run manually.</w:t>
      </w:r>
    </w:p>
    <w:p/>
    <w:p>
      <w:pPr>
        <w:pStyle w:val="Heading2"/>
        <w:spacing w:before="240" w:after="80"/>
      </w:pPr>
      <w:r>
        <w:rPr>
          <w:rFonts w:ascii="Arial" w:cs="Arial" w:eastAsia="Arial" w:hAnsi="Arial"/>
          <w:b/>
          <w:bCs/>
          <w:color w:val="2563EB"/>
          <w:sz w:val="26"/>
          <w:szCs w:val="26"/>
        </w:rPr>
        <w:t xml:space="preserve">2.3 Migration File Naming Convention</w:t>
      </w:r>
    </w:p>
    <w:p>
      <w:pPr>
        <w:shd w:fill="F1F5F9" w:val="clear"/>
        <w:spacing w:before="60" w:after="60"/>
        <w:ind w:left="360" w:right="360"/>
      </w:pPr>
      <w:r>
        <w:rPr>
          <w:rFonts w:ascii="Courier New" w:cs="Courier New" w:eastAsia="Courier New" w:hAnsi="Courier New"/>
          <w:color w:val="1F2937"/>
          <w:sz w:val="18"/>
          <w:szCs w:val="18"/>
        </w:rPr>
        <w:t xml:space="preserve">YYYYMMDDHHMMSS_description_of_change.sql</w:t>
      </w:r>
    </w:p>
    <w:p>
      <w:pPr>
        <w:spacing w:before="60" w:after="80"/>
      </w:pPr>
      <w:r>
        <w:rPr>
          <w:rFonts w:ascii="Arial" w:cs="Arial" w:eastAsia="Arial" w:hAnsi="Arial"/>
          <w:color w:val="1F2937"/>
          <w:sz w:val="22"/>
          <w:szCs w:val="22"/>
        </w:rPr>
        <w:t xml:space="preserve">Example: 20260301120000_add_retention_policy.sql</w:t>
      </w:r>
    </w:p>
    <w:p>
      <w:pPr>
        <w:pBdr>
          <w:left w:val="single" w:color="2563EB" w:sz="12" w:space="6"/>
        </w:pBdr>
        <w:shd w:fill="EFF6FF" w:val="clear"/>
        <w:spacing w:before="100" w:after="100"/>
        <w:ind w:left="360" w:right="360"/>
      </w:pPr>
      <w:r>
        <w:rPr>
          <w:rFonts w:ascii="Arial" w:cs="Arial" w:eastAsia="Arial" w:hAnsi="Arial"/>
          <w:i/>
          <w:iCs/>
          <w:color w:val="1F2937"/>
          <w:sz w:val="20"/>
          <w:szCs w:val="20"/>
        </w:rPr>
        <w:t xml:space="preserve">The complete schema file uses 00000000000000 as its timestamp to ensure it always sorts first. All future incremental migrations use real timestamps.</w:t>
      </w:r>
    </w:p>
    <w:p/>
    <w:p>
      <w:pPr>
        <w:pStyle w:val="Heading2"/>
        <w:spacing w:before="240" w:after="80"/>
      </w:pPr>
      <w:r>
        <w:rPr>
          <w:rFonts w:ascii="Arial" w:cs="Arial" w:eastAsia="Arial" w:hAnsi="Arial"/>
          <w:b/>
          <w:bCs/>
          <w:color w:val="2563EB"/>
          <w:sz w:val="26"/>
          <w:szCs w:val="26"/>
        </w:rPr>
        <w:t xml:space="preserve">2.4 Post-Migration Verification Checklist</w:t>
      </w:r>
    </w:p>
    <w:p>
      <w:pPr>
        <w:spacing w:before="60" w:after="80"/>
      </w:pPr>
      <w:r>
        <w:rPr>
          <w:rFonts w:ascii="Arial" w:cs="Arial" w:eastAsia="Arial" w:hAnsi="Arial"/>
          <w:color w:val="1F2937"/>
          <w:sz w:val="22"/>
          <w:szCs w:val="22"/>
        </w:rPr>
        <w:t xml:space="preserve">Run after every migration on staging before promoting to production.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1400"/>
        <w:gridCol w:w="1400"/>
      </w:tblGrid>
      <w:tr>
        <w:tc>
          <w:tcPr>
            <w:tcW w:type="dxa" w:w="656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140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Staging</w:t>
            </w:r>
          </w:p>
        </w:tc>
        <w:tc>
          <w:tcPr>
            <w:tcW w:type="dxa" w:w="140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Production</w:t>
            </w:r>
          </w:p>
        </w:tc>
      </w:tr>
      <w:tr>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All expected tables exist (information_schema query)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c>
          <w:tcPr>
            <w:tcW w:type="dxa" w:w="6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RLS enabled on all tenant-scoped tables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Partial unique indexes present (one active version per artifact, one active breach)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c>
          <w:tcPr>
            <w:tcW w:type="dxa" w:w="6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Cross-tenant isolation: query as Tenant A returns 0 rows for Tenant B data</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taken_by NOT NULL: INSERT into convergence_actions without taken_by is rejected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r>
        <w:tc>
          <w:tcPr>
            <w:tcW w:type="dxa" w:w="6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REQUIRE_AUTH=true confirmed in environment config</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r>
    </w:tbl>
    <w:p/>
    <w:p>
      <w:pPr>
        <w:pStyle w:val="Heading1"/>
        <w:pageBreakBefore/>
      </w:pPr>
      <w:r>
        <w:rPr>
          <w:rFonts w:ascii="Arial" w:cs="Arial" w:eastAsia="Arial" w:hAnsi="Arial"/>
          <w:b/>
          <w:bCs/>
          <w:color w:val="1F2937"/>
          <w:sz w:val="32"/>
          <w:szCs w:val="32"/>
        </w:rPr>
        <w:t xml:space="preserve">3. Secret Management and Key Rotation</w:t>
      </w:r>
    </w:p>
    <w:p>
      <w:pPr>
        <w:pStyle w:val="Heading2"/>
        <w:spacing w:before="240" w:after="80"/>
      </w:pPr>
      <w:r>
        <w:rPr>
          <w:rFonts w:ascii="Arial" w:cs="Arial" w:eastAsia="Arial" w:hAnsi="Arial"/>
          <w:b/>
          <w:bCs/>
          <w:color w:val="2563EB"/>
          <w:sz w:val="26"/>
          <w:szCs w:val="26"/>
        </w:rPr>
        <w:t xml:space="preserve">3.1 Secrets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2200"/>
        <w:gridCol w:w="2000"/>
      </w:tblGrid>
      <w:tr>
        <w:tc>
          <w:tcPr>
            <w:tcW w:type="dxa" w:w="260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Secret</w:t>
            </w:r>
          </w:p>
        </w:tc>
        <w:tc>
          <w:tcPr>
            <w:tcW w:type="dxa" w:w="256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20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Rotation frequency</w:t>
            </w:r>
          </w:p>
        </w:tc>
        <w:tc>
          <w:tcPr>
            <w:tcW w:type="dxa" w:w="200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Blast radius if leaked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SUPABASE_SERVICE_ROLE_KEY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.env (server only)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On suspected leak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DC2626"/>
                <w:sz w:val="20"/>
                <w:szCs w:val="20"/>
              </w:rPr>
              <w:t xml:space="preserve">Full DB write access</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CREDENTIAL_ENCRYPTION_KEY</w:t>
            </w:r>
          </w:p>
        </w:tc>
        <w:tc>
          <w:tcPr>
            <w:tcW w:type="dxa" w:w="2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.env (server only)</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On suspected leak</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DC2626"/>
                <w:sz w:val="20"/>
                <w:szCs w:val="20"/>
              </w:rPr>
              <w:t xml:space="preserve">All broker credentials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b w:val="false"/>
                <w:bCs w:val="false"/>
                <w:color w:val="1F2937"/>
                <w:sz w:val="20"/>
                <w:szCs w:val="20"/>
              </w:rPr>
              <w:t xml:space="preserve">SUPABASE_ANON_KEY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.env (server) / frontend config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Rarely — low risk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D97706"/>
                <w:sz w:val="20"/>
                <w:szCs w:val="20"/>
              </w:rPr>
              <w:t xml:space="preserve">Public-facing only</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Broker credentials (MQTT passwords)</w:t>
            </w:r>
          </w:p>
        </w:tc>
        <w:tc>
          <w:tcPr>
            <w:tcW w:type="dxa" w:w="2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DB — AES-256-GCM encrypted</w:t>
            </w:r>
          </w:p>
        </w:tc>
        <w:tc>
          <w:tcPr>
            <w:tcW w:type="dxa" w:w="2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Per tenant request</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One broker connection</w:t>
            </w:r>
          </w:p>
        </w:tc>
      </w:tr>
    </w:tbl>
    <w:p/>
    <w:p>
      <w:pPr>
        <w:pStyle w:val="Heading2"/>
        <w:spacing w:before="240" w:after="80"/>
      </w:pPr>
      <w:r>
        <w:rPr>
          <w:rFonts w:ascii="Arial" w:cs="Arial" w:eastAsia="Arial" w:hAnsi="Arial"/>
          <w:b/>
          <w:bCs/>
          <w:color w:val="2563EB"/>
          <w:sz w:val="26"/>
          <w:szCs w:val="26"/>
        </w:rPr>
        <w:t xml:space="preserve">3.2 Generating the Encryption Key</w:t>
      </w:r>
    </w:p>
    <w:p>
      <w:pPr>
        <w:spacing w:before="60" w:after="80"/>
      </w:pPr>
      <w:r>
        <w:rPr>
          <w:rFonts w:ascii="Arial" w:cs="Arial" w:eastAsia="Arial" w:hAnsi="Arial"/>
          <w:color w:val="1F2937"/>
          <w:sz w:val="22"/>
          <w:szCs w:val="22"/>
        </w:rPr>
        <w:t xml:space="preserve">Run this command once per environment. Store the output in the environment's .env file. Never reuse keys across environments.</w:t>
      </w:r>
    </w:p>
    <w:p>
      <w:pPr>
        <w:shd w:fill="F1F5F9" w:val="clear"/>
        <w:spacing w:before="60" w:after="60"/>
        <w:ind w:left="360" w:right="360"/>
      </w:pPr>
      <w:r>
        <w:rPr>
          <w:rFonts w:ascii="Courier New" w:cs="Courier New" w:eastAsia="Courier New" w:hAnsi="Courier New"/>
          <w:color w:val="1F2937"/>
          <w:sz w:val="18"/>
          <w:szCs w:val="18"/>
        </w:rPr>
        <w:t xml:space="preserve">node -e "console.log(require('crypto').randomBytes(32).toString('hex'))"</w:t>
      </w:r>
    </w:p>
    <w:p>
      <w:pPr>
        <w:spacing w:before="60" w:after="80"/>
      </w:pPr>
      <w:r>
        <w:rPr>
          <w:rFonts w:ascii="Arial" w:cs="Arial" w:eastAsia="Arial" w:hAnsi="Arial"/>
          <w:color w:val="1F2937"/>
          <w:sz w:val="22"/>
          <w:szCs w:val="22"/>
        </w:rPr>
        <w:t xml:space="preserve">Output is a 64-character hex string. Paste it as the value of CREDENTIAL_ENCRYPTION_KEY.</w:t>
      </w:r>
    </w:p>
    <w:p/>
    <w:p>
      <w:pPr>
        <w:pStyle w:val="Heading2"/>
        <w:spacing w:before="240" w:after="80"/>
      </w:pPr>
      <w:r>
        <w:rPr>
          <w:rFonts w:ascii="Arial" w:cs="Arial" w:eastAsia="Arial" w:hAnsi="Arial"/>
          <w:b/>
          <w:bCs/>
          <w:color w:val="2563EB"/>
          <w:sz w:val="26"/>
          <w:szCs w:val="26"/>
        </w:rPr>
        <w:t xml:space="preserve">3.3 Key Rotation Procedure — CREDENTIAL_ENCRYPTION_KEY</w:t>
      </w:r>
    </w:p>
    <w:p>
      <w:pPr>
        <w:pBdr>
          <w:left w:val="single" w:color="D97706" w:sz="12" w:space="6"/>
        </w:pBdr>
        <w:shd w:fill="EFF6FF" w:val="clear"/>
        <w:spacing w:before="100" w:after="100"/>
        <w:ind w:left="360" w:right="360"/>
      </w:pPr>
      <w:r>
        <w:rPr>
          <w:rFonts w:ascii="Arial" w:cs="Arial" w:eastAsia="Arial" w:hAnsi="Arial"/>
          <w:i/>
          <w:iCs/>
          <w:color w:val="1F2937"/>
          <w:sz w:val="20"/>
          <w:szCs w:val="20"/>
        </w:rPr>
        <w:t xml:space="preserve">Rotating this key requires re-encrypting all stored broker credentials. Follow this procedure carefully. Do not delete the old key until re-encryption is confirmed.</w:t>
      </w:r>
    </w:p>
    <w:p/>
    <w:p>
      <w:pPr>
        <w:spacing w:before="80" w:after="20"/>
        <w:ind w:left="360"/>
      </w:pPr>
      <w:r>
        <w:rPr>
          <w:rFonts w:ascii="Arial" w:cs="Arial" w:eastAsia="Arial" w:hAnsi="Arial"/>
          <w:b/>
          <w:bCs/>
          <w:color w:val="2563EB"/>
          <w:sz w:val="22"/>
          <w:szCs w:val="22"/>
        </w:rPr>
        <w:t xml:space="preserve">Step 1  </w:t>
      </w:r>
      <w:r>
        <w:rPr>
          <w:rFonts w:ascii="Arial" w:cs="Arial" w:eastAsia="Arial" w:hAnsi="Arial"/>
          <w:b/>
          <w:bCs/>
          <w:color w:val="1F2937"/>
          <w:sz w:val="22"/>
          <w:szCs w:val="22"/>
        </w:rPr>
        <w:t xml:space="preserve">Generate a new key</w:t>
      </w:r>
      <w:r>
        <w:rPr>
          <w:rFonts w:ascii="Arial" w:cs="Arial" w:eastAsia="Arial" w:hAnsi="Arial"/>
          <w:color w:val="6B7280"/>
          <w:sz w:val="20"/>
          <w:szCs w:val="20"/>
        </w:rPr>
        <w:t xml:space="preserve">  — node -e "console.log(require('crypto').randomBytes(32).toString('hex'))"</w:t>
      </w:r>
    </w:p>
    <w:p>
      <w:pPr>
        <w:spacing w:before="80" w:after="80"/>
        <w:ind w:left="360"/>
      </w:pPr>
      <w:r>
        <w:rPr>
          <w:rFonts w:ascii="Arial" w:cs="Arial" w:eastAsia="Arial" w:hAnsi="Arial"/>
          <w:b/>
          <w:bCs/>
          <w:color w:val="2563EB"/>
          <w:sz w:val="22"/>
          <w:szCs w:val="22"/>
        </w:rPr>
        <w:t xml:space="preserve">Step 2  </w:t>
      </w:r>
      <w:r>
        <w:rPr>
          <w:rFonts w:ascii="Arial" w:cs="Arial" w:eastAsia="Arial" w:hAnsi="Arial"/>
          <w:b/>
          <w:bCs/>
          <w:color w:val="1F2937"/>
          <w:sz w:val="22"/>
          <w:szCs w:val="22"/>
        </w:rPr>
        <w:t xml:space="preserve">Add NEW_CREDENTIAL_ENCRYPTION_KEY to the environment alongside the existing key</w:t>
      </w:r>
    </w:p>
    <w:p>
      <w:pPr>
        <w:spacing w:before="80" w:after="20"/>
        <w:ind w:left="360"/>
      </w:pPr>
      <w:r>
        <w:rPr>
          <w:rFonts w:ascii="Arial" w:cs="Arial" w:eastAsia="Arial" w:hAnsi="Arial"/>
          <w:b/>
          <w:bCs/>
          <w:color w:val="2563EB"/>
          <w:sz w:val="22"/>
          <w:szCs w:val="22"/>
        </w:rPr>
        <w:t xml:space="preserve">Step 3  </w:t>
      </w:r>
      <w:r>
        <w:rPr>
          <w:rFonts w:ascii="Arial" w:cs="Arial" w:eastAsia="Arial" w:hAnsi="Arial"/>
          <w:b/>
          <w:bCs/>
          <w:color w:val="1F2937"/>
          <w:sz w:val="22"/>
          <w:szCs w:val="22"/>
        </w:rPr>
        <w:t xml:space="preserve">Run the re-encryption script</w:t>
      </w:r>
      <w:r>
        <w:rPr>
          <w:rFonts w:ascii="Arial" w:cs="Arial" w:eastAsia="Arial" w:hAnsi="Arial"/>
          <w:color w:val="6B7280"/>
          <w:sz w:val="20"/>
          <w:szCs w:val="20"/>
        </w:rPr>
        <w:t xml:space="preserve">  — reads all protocol_connections rows, decrypts with old key, re-encrypts with new key</w:t>
      </w:r>
    </w:p>
    <w:p>
      <w:pPr>
        <w:spacing w:before="80" w:after="80"/>
        <w:ind w:left="360"/>
      </w:pPr>
      <w:r>
        <w:rPr>
          <w:rFonts w:ascii="Arial" w:cs="Arial" w:eastAsia="Arial" w:hAnsi="Arial"/>
          <w:b/>
          <w:bCs/>
          <w:color w:val="2563EB"/>
          <w:sz w:val="22"/>
          <w:szCs w:val="22"/>
        </w:rPr>
        <w:t xml:space="preserve">Step 4  </w:t>
      </w:r>
      <w:r>
        <w:rPr>
          <w:rFonts w:ascii="Arial" w:cs="Arial" w:eastAsia="Arial" w:hAnsi="Arial"/>
          <w:b/>
          <w:bCs/>
          <w:color w:val="1F2937"/>
          <w:sz w:val="22"/>
          <w:szCs w:val="22"/>
        </w:rPr>
        <w:t xml:space="preserve">Verify: confirm one connection can be connected successfully using the new key</w:t>
      </w:r>
    </w:p>
    <w:p>
      <w:pPr>
        <w:spacing w:before="80" w:after="80"/>
        <w:ind w:left="360"/>
      </w:pPr>
      <w:r>
        <w:rPr>
          <w:rFonts w:ascii="Arial" w:cs="Arial" w:eastAsia="Arial" w:hAnsi="Arial"/>
          <w:b/>
          <w:bCs/>
          <w:color w:val="2563EB"/>
          <w:sz w:val="22"/>
          <w:szCs w:val="22"/>
        </w:rPr>
        <w:t xml:space="preserve">Step 5  </w:t>
      </w:r>
      <w:r>
        <w:rPr>
          <w:rFonts w:ascii="Arial" w:cs="Arial" w:eastAsia="Arial" w:hAnsi="Arial"/>
          <w:b/>
          <w:bCs/>
          <w:color w:val="1F2937"/>
          <w:sz w:val="22"/>
          <w:szCs w:val="22"/>
        </w:rPr>
        <w:t xml:space="preserve">Rename NEW_CREDENTIAL_ENCRYPTION_KEY to CREDENTIAL_ENCRYPTION_KEY in the environment</w:t>
      </w:r>
    </w:p>
    <w:p>
      <w:pPr>
        <w:spacing w:before="80" w:after="80"/>
        <w:ind w:left="360"/>
      </w:pPr>
      <w:r>
        <w:rPr>
          <w:rFonts w:ascii="Arial" w:cs="Arial" w:eastAsia="Arial" w:hAnsi="Arial"/>
          <w:b/>
          <w:bCs/>
          <w:color w:val="2563EB"/>
          <w:sz w:val="22"/>
          <w:szCs w:val="22"/>
        </w:rPr>
        <w:t xml:space="preserve">Step 6  </w:t>
      </w:r>
      <w:r>
        <w:rPr>
          <w:rFonts w:ascii="Arial" w:cs="Arial" w:eastAsia="Arial" w:hAnsi="Arial"/>
          <w:b/>
          <w:bCs/>
          <w:color w:val="1F2937"/>
          <w:sz w:val="22"/>
          <w:szCs w:val="22"/>
        </w:rPr>
        <w:t xml:space="preserve">Restart the API process</w:t>
      </w:r>
    </w:p>
    <w:p>
      <w:pPr>
        <w:spacing w:before="80" w:after="80"/>
        <w:ind w:left="360"/>
      </w:pPr>
      <w:r>
        <w:rPr>
          <w:rFonts w:ascii="Arial" w:cs="Arial" w:eastAsia="Arial" w:hAnsi="Arial"/>
          <w:b/>
          <w:bCs/>
          <w:color w:val="2563EB"/>
          <w:sz w:val="22"/>
          <w:szCs w:val="22"/>
        </w:rPr>
        <w:t xml:space="preserve">Step 7  </w:t>
      </w:r>
      <w:r>
        <w:rPr>
          <w:rFonts w:ascii="Arial" w:cs="Arial" w:eastAsia="Arial" w:hAnsi="Arial"/>
          <w:b/>
          <w:bCs/>
          <w:color w:val="1F2937"/>
          <w:sz w:val="22"/>
          <w:szCs w:val="22"/>
        </w:rPr>
        <w:t xml:space="preserve">Remove the old key from environment config</w:t>
      </w:r>
    </w:p>
    <w:p>
      <w:pPr>
        <w:spacing w:before="80" w:after="80"/>
        <w:ind w:left="360"/>
      </w:pPr>
      <w:r>
        <w:rPr>
          <w:rFonts w:ascii="Arial" w:cs="Arial" w:eastAsia="Arial" w:hAnsi="Arial"/>
          <w:b/>
          <w:bCs/>
          <w:color w:val="2563EB"/>
          <w:sz w:val="22"/>
          <w:szCs w:val="22"/>
        </w:rPr>
        <w:t xml:space="preserve">Step 8  </w:t>
      </w:r>
      <w:r>
        <w:rPr>
          <w:rFonts w:ascii="Arial" w:cs="Arial" w:eastAsia="Arial" w:hAnsi="Arial"/>
          <w:b/>
          <w:bCs/>
          <w:color w:val="1F2937"/>
          <w:sz w:val="22"/>
          <w:szCs w:val="22"/>
        </w:rPr>
        <w:t xml:space="preserve">Log the rotation in the audit record with date and initiator</w:t>
      </w:r>
    </w:p>
    <w:p/>
    <w:p>
      <w:pPr>
        <w:pBdr>
          <w:left w:val="single" w:color="D97706" w:sz="12" w:space="6"/>
        </w:pBdr>
        <w:shd w:fill="EFF6FF" w:val="clear"/>
        <w:spacing w:before="100" w:after="100"/>
        <w:ind w:left="360" w:right="360"/>
      </w:pPr>
      <w:r>
        <w:rPr>
          <w:rFonts w:ascii="Arial" w:cs="Arial" w:eastAsia="Arial" w:hAnsi="Arial"/>
          <w:i/>
          <w:iCs/>
          <w:color w:val="1F2937"/>
          <w:sz w:val="20"/>
          <w:szCs w:val="20"/>
        </w:rPr>
        <w:t xml:space="preserve">The re-encryption script does not yet exist — this is a tracked post-staging work item. Until it is built, key rotation requires manually re-entering broker credentials after the key change.</w:t>
      </w:r>
    </w:p>
    <w:p/>
    <w:p>
      <w:pPr>
        <w:pStyle w:val="Heading2"/>
        <w:spacing w:before="240" w:after="80"/>
      </w:pPr>
      <w:r>
        <w:rPr>
          <w:rFonts w:ascii="Arial" w:cs="Arial" w:eastAsia="Arial" w:hAnsi="Arial"/>
          <w:b/>
          <w:bCs/>
          <w:color w:val="2563EB"/>
          <w:sz w:val="26"/>
          <w:szCs w:val="26"/>
        </w:rPr>
        <w:t xml:space="preserve">3.4 Key Rotation Procedure — SUPABASE_SERVICE_ROLE_KEY</w:t>
      </w:r>
    </w:p>
    <w:p>
      <w:pPr>
        <w:spacing w:before="60" w:after="80"/>
      </w:pPr>
      <w:r>
        <w:rPr>
          <w:rFonts w:ascii="Arial" w:cs="Arial" w:eastAsia="Arial" w:hAnsi="Arial"/>
          <w:color w:val="1F2937"/>
          <w:sz w:val="22"/>
          <w:szCs w:val="22"/>
        </w:rPr>
        <w:t xml:space="preserve">The service role key is rotated in the Supabase dashboard.</w:t>
      </w:r>
    </w:p>
    <w:p>
      <w:pPr>
        <w:spacing w:before="80" w:after="80"/>
        <w:ind w:left="360"/>
      </w:pPr>
      <w:r>
        <w:rPr>
          <w:rFonts w:ascii="Arial" w:cs="Arial" w:eastAsia="Arial" w:hAnsi="Arial"/>
          <w:b/>
          <w:bCs/>
          <w:color w:val="2563EB"/>
          <w:sz w:val="22"/>
          <w:szCs w:val="22"/>
        </w:rPr>
        <w:t xml:space="preserve">Step 1  </w:t>
      </w:r>
      <w:r>
        <w:rPr>
          <w:rFonts w:ascii="Arial" w:cs="Arial" w:eastAsia="Arial" w:hAnsi="Arial"/>
          <w:b/>
          <w:bCs/>
          <w:color w:val="1F2937"/>
          <w:sz w:val="22"/>
          <w:szCs w:val="22"/>
        </w:rPr>
        <w:t xml:space="preserve">Supabase dashboard → Project Settings → API → Rotate service role key</w:t>
      </w:r>
    </w:p>
    <w:p>
      <w:pPr>
        <w:spacing w:before="80" w:after="80"/>
        <w:ind w:left="360"/>
      </w:pPr>
      <w:r>
        <w:rPr>
          <w:rFonts w:ascii="Arial" w:cs="Arial" w:eastAsia="Arial" w:hAnsi="Arial"/>
          <w:b/>
          <w:bCs/>
          <w:color w:val="2563EB"/>
          <w:sz w:val="22"/>
          <w:szCs w:val="22"/>
        </w:rPr>
        <w:t xml:space="preserve">Step 2  </w:t>
      </w:r>
      <w:r>
        <w:rPr>
          <w:rFonts w:ascii="Arial" w:cs="Arial" w:eastAsia="Arial" w:hAnsi="Arial"/>
          <w:b/>
          <w:bCs/>
          <w:color w:val="1F2937"/>
          <w:sz w:val="22"/>
          <w:szCs w:val="22"/>
        </w:rPr>
        <w:t xml:space="preserve">Update SUPABASE_SERVICE_ROLE_KEY in the environment .env file</w:t>
      </w:r>
    </w:p>
    <w:p>
      <w:pPr>
        <w:spacing w:before="80" w:after="80"/>
        <w:ind w:left="360"/>
      </w:pPr>
      <w:r>
        <w:rPr>
          <w:rFonts w:ascii="Arial" w:cs="Arial" w:eastAsia="Arial" w:hAnsi="Arial"/>
          <w:b/>
          <w:bCs/>
          <w:color w:val="2563EB"/>
          <w:sz w:val="22"/>
          <w:szCs w:val="22"/>
        </w:rPr>
        <w:t xml:space="preserve">Step 3  </w:t>
      </w:r>
      <w:r>
        <w:rPr>
          <w:rFonts w:ascii="Arial" w:cs="Arial" w:eastAsia="Arial" w:hAnsi="Arial"/>
          <w:b/>
          <w:bCs/>
          <w:color w:val="1F2937"/>
          <w:sz w:val="22"/>
          <w:szCs w:val="22"/>
        </w:rPr>
        <w:t xml:space="preserve">Restart the API process</w:t>
      </w:r>
    </w:p>
    <w:p>
      <w:pPr>
        <w:spacing w:before="80" w:after="80"/>
        <w:ind w:left="360"/>
      </w:pPr>
      <w:r>
        <w:rPr>
          <w:rFonts w:ascii="Arial" w:cs="Arial" w:eastAsia="Arial" w:hAnsi="Arial"/>
          <w:b/>
          <w:bCs/>
          <w:color w:val="2563EB"/>
          <w:sz w:val="22"/>
          <w:szCs w:val="22"/>
        </w:rPr>
        <w:t xml:space="preserve">Step 4  </w:t>
      </w:r>
      <w:r>
        <w:rPr>
          <w:rFonts w:ascii="Arial" w:cs="Arial" w:eastAsia="Arial" w:hAnsi="Arial"/>
          <w:b/>
          <w:bCs/>
          <w:color w:val="1F2937"/>
          <w:sz w:val="22"/>
          <w:szCs w:val="22"/>
        </w:rPr>
        <w:t xml:space="preserve">Verify: confirm /health returns OK and stores can write to DB</w:t>
      </w:r>
    </w:p>
    <w:p/>
    <w:p>
      <w:pPr>
        <w:pStyle w:val="Heading1"/>
        <w:pageBreakBefore/>
      </w:pPr>
      <w:r>
        <w:rPr>
          <w:rFonts w:ascii="Arial" w:cs="Arial" w:eastAsia="Arial" w:hAnsi="Arial"/>
          <w:b/>
          <w:bCs/>
          <w:color w:val="1F2937"/>
          <w:sz w:val="32"/>
          <w:szCs w:val="32"/>
        </w:rPr>
        <w:t xml:space="preserve">4. Deployment Procedure</w:t>
      </w:r>
    </w:p>
    <w:p>
      <w:pPr>
        <w:pStyle w:val="Heading2"/>
        <w:spacing w:before="240" w:after="80"/>
      </w:pPr>
      <w:r>
        <w:rPr>
          <w:rFonts w:ascii="Arial" w:cs="Arial" w:eastAsia="Arial" w:hAnsi="Arial"/>
          <w:b/>
          <w:bCs/>
          <w:color w:val="2563EB"/>
          <w:sz w:val="26"/>
          <w:szCs w:val="26"/>
        </w:rPr>
        <w:t xml:space="preserve">4.1 Pre-Deployment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16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All sessions 1–4 type-check clean (tsc --noEmit)</w:t>
            </w:r>
          </w:p>
        </w:tc>
      </w:tr>
      <w:tr>
        <w:tc>
          <w:tcPr>
            <w:tcW w:type="dxa" w:w="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Migration verified on staging (Section 2.4 checklist complete)</w:t>
            </w:r>
          </w:p>
        </w:tc>
      </w:tr>
      <w:tr>
        <w:tc>
          <w:tcPr>
            <w:tcW w:type="dxa" w:w="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REQUIRE_AUTH=true in environment config</w:t>
            </w:r>
          </w:p>
        </w:tc>
      </w:tr>
      <w:tr>
        <w:tc>
          <w:tcPr>
            <w:tcW w:type="dxa" w:w="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CREDENTIAL_ENCRYPTION_KEY set (64 hex chars)</w:t>
            </w:r>
          </w:p>
        </w:tc>
      </w:tr>
      <w:tr>
        <w:tc>
          <w:tcPr>
            <w:tcW w:type="dxa" w:w="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SUPABASE_SERVICE_ROLE_KEY set</w:t>
            </w:r>
          </w:p>
        </w:tc>
      </w:tr>
      <w:tr>
        <w:tc>
          <w:tcPr>
            <w:tcW w:type="dxa" w:w="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NODE_ENV=production set</w:t>
            </w:r>
          </w:p>
        </w:tc>
      </w:tr>
      <w:tr>
        <w:tc>
          <w:tcPr>
            <w:tcW w:type="dxa" w:w="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/health endpoint returns OK after deploy</w:t>
            </w:r>
          </w:p>
        </w:tc>
      </w:tr>
    </w:tbl>
    <w:p/>
    <w:p>
      <w:pPr>
        <w:pStyle w:val="Heading2"/>
        <w:spacing w:before="240" w:after="80"/>
      </w:pPr>
      <w:r>
        <w:rPr>
          <w:rFonts w:ascii="Arial" w:cs="Arial" w:eastAsia="Arial" w:hAnsi="Arial"/>
          <w:b/>
          <w:bCs/>
          <w:color w:val="2563EB"/>
          <w:sz w:val="26"/>
          <w:szCs w:val="26"/>
        </w:rPr>
        <w:t xml:space="preserve">4.2 Local Development</w:t>
      </w:r>
    </w:p>
    <w:p>
      <w:pPr>
        <w:spacing w:before="80" w:after="20"/>
        <w:ind w:left="360"/>
      </w:pPr>
      <w:r>
        <w:rPr>
          <w:rFonts w:ascii="Arial" w:cs="Arial" w:eastAsia="Arial" w:hAnsi="Arial"/>
          <w:b/>
          <w:bCs/>
          <w:color w:val="2563EB"/>
          <w:sz w:val="22"/>
          <w:szCs w:val="22"/>
        </w:rPr>
        <w:t xml:space="preserve">Step 1  </w:t>
      </w:r>
      <w:r>
        <w:rPr>
          <w:rFonts w:ascii="Arial" w:cs="Arial" w:eastAsia="Arial" w:hAnsi="Arial"/>
          <w:b/>
          <w:bCs/>
          <w:color w:val="1F2937"/>
          <w:sz w:val="22"/>
          <w:szCs w:val="22"/>
        </w:rPr>
        <w:t xml:space="preserve">Clone repo and install dependencies</w:t>
      </w:r>
      <w:r>
        <w:rPr>
          <w:rFonts w:ascii="Arial" w:cs="Arial" w:eastAsia="Arial" w:hAnsi="Arial"/>
          <w:color w:val="6B7280"/>
          <w:sz w:val="20"/>
          <w:szCs w:val="20"/>
        </w:rPr>
        <w:t xml:space="preserve">  — npm install</w:t>
      </w:r>
    </w:p>
    <w:p>
      <w:pPr>
        <w:spacing w:before="80" w:after="20"/>
        <w:ind w:left="360"/>
      </w:pPr>
      <w:r>
        <w:rPr>
          <w:rFonts w:ascii="Arial" w:cs="Arial" w:eastAsia="Arial" w:hAnsi="Arial"/>
          <w:b/>
          <w:bCs/>
          <w:color w:val="2563EB"/>
          <w:sz w:val="22"/>
          <w:szCs w:val="22"/>
        </w:rPr>
        <w:t xml:space="preserve">Step 2  </w:t>
      </w:r>
      <w:r>
        <w:rPr>
          <w:rFonts w:ascii="Arial" w:cs="Arial" w:eastAsia="Arial" w:hAnsi="Arial"/>
          <w:b/>
          <w:bCs/>
          <w:color w:val="1F2937"/>
          <w:sz w:val="22"/>
          <w:szCs w:val="22"/>
        </w:rPr>
        <w:t xml:space="preserve">Copy environment template</w:t>
      </w:r>
      <w:r>
        <w:rPr>
          <w:rFonts w:ascii="Arial" w:cs="Arial" w:eastAsia="Arial" w:hAnsi="Arial"/>
          <w:color w:val="6B7280"/>
          <w:sz w:val="20"/>
          <w:szCs w:val="20"/>
        </w:rPr>
        <w:t xml:space="preserve">  — cp apps/align-api/.env.example apps/align-api/.env</w:t>
      </w:r>
    </w:p>
    <w:p>
      <w:pPr>
        <w:spacing w:before="80" w:after="20"/>
        <w:ind w:left="360"/>
      </w:pPr>
      <w:r>
        <w:rPr>
          <w:rFonts w:ascii="Arial" w:cs="Arial" w:eastAsia="Arial" w:hAnsi="Arial"/>
          <w:b/>
          <w:bCs/>
          <w:color w:val="2563EB"/>
          <w:sz w:val="22"/>
          <w:szCs w:val="22"/>
        </w:rPr>
        <w:t xml:space="preserve">Step 3  </w:t>
      </w:r>
      <w:r>
        <w:rPr>
          <w:rFonts w:ascii="Arial" w:cs="Arial" w:eastAsia="Arial" w:hAnsi="Arial"/>
          <w:b/>
          <w:bCs/>
          <w:color w:val="1F2937"/>
          <w:sz w:val="22"/>
          <w:szCs w:val="22"/>
        </w:rPr>
        <w:t xml:space="preserve">Fill in .env values</w:t>
      </w:r>
      <w:r>
        <w:rPr>
          <w:rFonts w:ascii="Arial" w:cs="Arial" w:eastAsia="Arial" w:hAnsi="Arial"/>
          <w:color w:val="6B7280"/>
          <w:sz w:val="20"/>
          <w:szCs w:val="20"/>
        </w:rPr>
        <w:t xml:space="preserve">  — SUPABASE_URL, keys, CREDENTIAL_ENCRYPTION_KEY</w:t>
      </w:r>
    </w:p>
    <w:p>
      <w:pPr>
        <w:spacing w:before="80" w:after="20"/>
        <w:ind w:left="360"/>
      </w:pPr>
      <w:r>
        <w:rPr>
          <w:rFonts w:ascii="Arial" w:cs="Arial" w:eastAsia="Arial" w:hAnsi="Arial"/>
          <w:b/>
          <w:bCs/>
          <w:color w:val="2563EB"/>
          <w:sz w:val="22"/>
          <w:szCs w:val="22"/>
        </w:rPr>
        <w:t xml:space="preserve">Step 4  </w:t>
      </w:r>
      <w:r>
        <w:rPr>
          <w:rFonts w:ascii="Arial" w:cs="Arial" w:eastAsia="Arial" w:hAnsi="Arial"/>
          <w:b/>
          <w:bCs/>
          <w:color w:val="1F2937"/>
          <w:sz w:val="22"/>
          <w:szCs w:val="22"/>
        </w:rPr>
        <w:t xml:space="preserve">Run the API</w:t>
      </w:r>
      <w:r>
        <w:rPr>
          <w:rFonts w:ascii="Arial" w:cs="Arial" w:eastAsia="Arial" w:hAnsi="Arial"/>
          <w:color w:val="6B7280"/>
          <w:sz w:val="20"/>
          <w:szCs w:val="20"/>
        </w:rPr>
        <w:t xml:space="preserve">  — npx nx serve align-api  or  npm run start:api</w:t>
      </w:r>
    </w:p>
    <w:p>
      <w:pPr>
        <w:spacing w:before="80" w:after="20"/>
        <w:ind w:left="360"/>
      </w:pPr>
      <w:r>
        <w:rPr>
          <w:rFonts w:ascii="Arial" w:cs="Arial" w:eastAsia="Arial" w:hAnsi="Arial"/>
          <w:b/>
          <w:bCs/>
          <w:color w:val="2563EB"/>
          <w:sz w:val="22"/>
          <w:szCs w:val="22"/>
        </w:rPr>
        <w:t xml:space="preserve">Step 5  </w:t>
      </w:r>
      <w:r>
        <w:rPr>
          <w:rFonts w:ascii="Arial" w:cs="Arial" w:eastAsia="Arial" w:hAnsi="Arial"/>
          <w:b/>
          <w:bCs/>
          <w:color w:val="1F2937"/>
          <w:sz w:val="22"/>
          <w:szCs w:val="22"/>
        </w:rPr>
        <w:t xml:space="preserve">Verify</w:t>
      </w:r>
      <w:r>
        <w:rPr>
          <w:rFonts w:ascii="Arial" w:cs="Arial" w:eastAsia="Arial" w:hAnsi="Arial"/>
          <w:color w:val="6B7280"/>
          <w:sz w:val="20"/>
          <w:szCs w:val="20"/>
        </w:rPr>
        <w:t xml:space="preserve">  — GET http://localhost:3000/api → should return service info JSON</w:t>
      </w:r>
    </w:p>
    <w:p/>
    <w:p>
      <w:pPr>
        <w:pStyle w:val="Heading2"/>
        <w:spacing w:before="240" w:after="80"/>
      </w:pPr>
      <w:r>
        <w:rPr>
          <w:rFonts w:ascii="Arial" w:cs="Arial" w:eastAsia="Arial" w:hAnsi="Arial"/>
          <w:b/>
          <w:bCs/>
          <w:color w:val="2563EB"/>
          <w:sz w:val="26"/>
          <w:szCs w:val="26"/>
        </w:rPr>
        <w:t xml:space="preserve">4.3 Staging Deployment</w:t>
      </w:r>
    </w:p>
    <w:p>
      <w:pPr>
        <w:spacing w:before="60" w:after="80"/>
      </w:pPr>
      <w:r>
        <w:rPr>
          <w:rFonts w:ascii="Arial" w:cs="Arial" w:eastAsia="Arial" w:hAnsi="Arial"/>
          <w:color w:val="1F2937"/>
          <w:sz w:val="22"/>
          <w:szCs w:val="22"/>
        </w:rPr>
        <w:t xml:space="preserve">Staging currently runs on the same hosting provider as development. Update this section once a hosting provider is confirmed.</w:t>
      </w:r>
    </w:p>
    <w:p/>
    <w:p>
      <w:pPr>
        <w:spacing w:before="80" w:after="80"/>
        <w:ind w:left="360"/>
      </w:pPr>
      <w:r>
        <w:rPr>
          <w:rFonts w:ascii="Arial" w:cs="Arial" w:eastAsia="Arial" w:hAnsi="Arial"/>
          <w:b/>
          <w:bCs/>
          <w:color w:val="2563EB"/>
          <w:sz w:val="22"/>
          <w:szCs w:val="22"/>
        </w:rPr>
        <w:t xml:space="preserve">Step 1  </w:t>
      </w:r>
      <w:r>
        <w:rPr>
          <w:rFonts w:ascii="Arial" w:cs="Arial" w:eastAsia="Arial" w:hAnsi="Arial"/>
          <w:b/>
          <w:bCs/>
          <w:color w:val="1F2937"/>
          <w:sz w:val="22"/>
          <w:szCs w:val="22"/>
        </w:rPr>
        <w:t xml:space="preserve">Merge feature branch to master</w:t>
      </w:r>
    </w:p>
    <w:p>
      <w:pPr>
        <w:spacing w:before="80" w:after="80"/>
        <w:ind w:left="360"/>
      </w:pPr>
      <w:r>
        <w:rPr>
          <w:rFonts w:ascii="Arial" w:cs="Arial" w:eastAsia="Arial" w:hAnsi="Arial"/>
          <w:b/>
          <w:bCs/>
          <w:color w:val="2563EB"/>
          <w:sz w:val="22"/>
          <w:szCs w:val="22"/>
        </w:rPr>
        <w:t xml:space="preserve">Step 2  </w:t>
      </w:r>
      <w:r>
        <w:rPr>
          <w:rFonts w:ascii="Arial" w:cs="Arial" w:eastAsia="Arial" w:hAnsi="Arial"/>
          <w:b/>
          <w:bCs/>
          <w:color w:val="1F2937"/>
          <w:sz w:val="22"/>
          <w:szCs w:val="22"/>
        </w:rPr>
        <w:t xml:space="preserve">Run migration on cav-align-staging Supabase project (Section 2)</w:t>
      </w:r>
    </w:p>
    <w:p>
      <w:pPr>
        <w:spacing w:before="80" w:after="80"/>
        <w:ind w:left="360"/>
      </w:pPr>
      <w:r>
        <w:rPr>
          <w:rFonts w:ascii="Arial" w:cs="Arial" w:eastAsia="Arial" w:hAnsi="Arial"/>
          <w:b/>
          <w:bCs/>
          <w:color w:val="2563EB"/>
          <w:sz w:val="22"/>
          <w:szCs w:val="22"/>
        </w:rPr>
        <w:t xml:space="preserve">Step 3  </w:t>
      </w:r>
      <w:r>
        <w:rPr>
          <w:rFonts w:ascii="Arial" w:cs="Arial" w:eastAsia="Arial" w:hAnsi="Arial"/>
          <w:b/>
          <w:bCs/>
          <w:color w:val="1F2937"/>
          <w:sz w:val="22"/>
          <w:szCs w:val="22"/>
        </w:rPr>
        <w:t xml:space="preserve">Deploy API build with staging environment variables</w:t>
      </w:r>
    </w:p>
    <w:p>
      <w:pPr>
        <w:spacing w:before="80" w:after="80"/>
        <w:ind w:left="360"/>
      </w:pPr>
      <w:r>
        <w:rPr>
          <w:rFonts w:ascii="Arial" w:cs="Arial" w:eastAsia="Arial" w:hAnsi="Arial"/>
          <w:b/>
          <w:bCs/>
          <w:color w:val="2563EB"/>
          <w:sz w:val="22"/>
          <w:szCs w:val="22"/>
        </w:rPr>
        <w:t xml:space="preserve">Step 4  </w:t>
      </w:r>
      <w:r>
        <w:rPr>
          <w:rFonts w:ascii="Arial" w:cs="Arial" w:eastAsia="Arial" w:hAnsi="Arial"/>
          <w:b/>
          <w:bCs/>
          <w:color w:val="1F2937"/>
          <w:sz w:val="22"/>
          <w:szCs w:val="22"/>
        </w:rPr>
        <w:t xml:space="preserve">Run post-migration verification checklist (Section 2.4)</w:t>
      </w:r>
    </w:p>
    <w:p>
      <w:pPr>
        <w:spacing w:before="80" w:after="80"/>
        <w:ind w:left="360"/>
      </w:pPr>
      <w:r>
        <w:rPr>
          <w:rFonts w:ascii="Arial" w:cs="Arial" w:eastAsia="Arial" w:hAnsi="Arial"/>
          <w:b/>
          <w:bCs/>
          <w:color w:val="2563EB"/>
          <w:sz w:val="22"/>
          <w:szCs w:val="22"/>
        </w:rPr>
        <w:t xml:space="preserve">Step 5  </w:t>
      </w:r>
      <w:r>
        <w:rPr>
          <w:rFonts w:ascii="Arial" w:cs="Arial" w:eastAsia="Arial" w:hAnsi="Arial"/>
          <w:b/>
          <w:bCs/>
          <w:color w:val="1F2937"/>
          <w:sz w:val="22"/>
          <w:szCs w:val="22"/>
        </w:rPr>
        <w:t xml:space="preserve">Smoke test: POST a test connection, start ingestion, verify a divergence event persists</w:t>
      </w:r>
    </w:p>
    <w:p>
      <w:pPr>
        <w:spacing w:before="80" w:after="80"/>
        <w:ind w:left="360"/>
      </w:pPr>
      <w:r>
        <w:rPr>
          <w:rFonts w:ascii="Arial" w:cs="Arial" w:eastAsia="Arial" w:hAnsi="Arial"/>
          <w:b/>
          <w:bCs/>
          <w:color w:val="2563EB"/>
          <w:sz w:val="22"/>
          <w:szCs w:val="22"/>
        </w:rPr>
        <w:t xml:space="preserve">Step 6  </w:t>
      </w:r>
      <w:r>
        <w:rPr>
          <w:rFonts w:ascii="Arial" w:cs="Arial" w:eastAsia="Arial" w:hAnsi="Arial"/>
          <w:b/>
          <w:bCs/>
          <w:color w:val="1F2937"/>
          <w:sz w:val="22"/>
          <w:szCs w:val="22"/>
        </w:rPr>
        <w:t xml:space="preserve">If all pass: notify design partners that the environment is ready</w:t>
      </w:r>
    </w:p>
    <w:p/>
    <w:p>
      <w:pPr>
        <w:pStyle w:val="Heading2"/>
        <w:spacing w:before="240" w:after="80"/>
      </w:pPr>
      <w:r>
        <w:rPr>
          <w:rFonts w:ascii="Arial" w:cs="Arial" w:eastAsia="Arial" w:hAnsi="Arial"/>
          <w:b/>
          <w:bCs/>
          <w:color w:val="2563EB"/>
          <w:sz w:val="26"/>
          <w:szCs w:val="26"/>
        </w:rPr>
        <w:t xml:space="preserve">4.4 Promoting to Production</w:t>
      </w:r>
    </w:p>
    <w:p>
      <w:pPr>
        <w:spacing w:before="60" w:after="80"/>
      </w:pPr>
      <w:r>
        <w:t>Not applicable until the production Supabase project is created (TBD upgrade). At that point, follow the same procedure as staging deployment with the production environment variables.</w:t>
      </w:r>
    </w:p>
    <w:p>
      <w:pPr>
        <w:pBdr>
          <w:left w:val="single" w:color="D97706" w:sz="12" w:space="6"/>
        </w:pBdr>
        <w:shd w:fill="EFF6FF" w:val="clear"/>
        <w:spacing w:before="100" w:after="100"/>
        <w:ind w:left="360" w:right="360"/>
      </w:pPr>
      <w:r>
        <w:rPr>
          <w:rFonts w:ascii="Arial" w:cs="Arial" w:eastAsia="Arial" w:hAnsi="Arial"/>
          <w:i/>
          <w:iCs/>
          <w:color w:val="1F2937"/>
          <w:sz w:val="20"/>
          <w:szCs w:val="20"/>
        </w:rPr>
        <w:t xml:space="preserve">Before first external customer access on production: run the full Section 2.4 checklist, confirm TLS is enforced, and confirm REQUIRE_AUTH=true.</w:t>
      </w:r>
    </w:p>
    <w:p/>
    <w:p>
      <w:pPr>
        <w:pStyle w:val="Heading1"/>
        <w:pageBreakBefore/>
      </w:pPr>
      <w:r>
        <w:rPr>
          <w:rFonts w:ascii="Arial" w:cs="Arial" w:eastAsia="Arial" w:hAnsi="Arial"/>
          <w:b/>
          <w:bCs/>
          <w:color w:val="1F2937"/>
          <w:sz w:val="32"/>
          <w:szCs w:val="32"/>
        </w:rPr>
        <w:t xml:space="preserve">5. Design Partner Onboarding</w:t>
      </w:r>
    </w:p>
    <w:p>
      <w:r>
        <w:rPr>
          <w:b w:val="0"/>
        </w:rPr>
      </w:r>
    </w:p>
    <w:p>
      <w:r>
        <w:rPr>
          <w:b/>
        </w:rPr>
        <w:t>Pilot mode note:</w:t>
      </w:r>
    </w:p>
    <w:p>
      <w:r>
        <w:rPr>
          <w:b w:val="0"/>
        </w:rPr>
        <w:t>If a design partner is running MQTT-Align v1 (CAV Level 1/1.1) only, skip any steps related to Intent Artifacts / Intent Versions (v2 endpoints). Those steps apply only to v2 pilots (CAV Level 3–4).</w:t>
      </w:r>
    </w:p>
    <w:p>
      <w:pPr>
        <w:pStyle w:val="Heading2"/>
        <w:spacing w:before="240" w:after="80"/>
      </w:pPr>
      <w:r>
        <w:rPr>
          <w:rFonts w:ascii="Arial" w:cs="Arial" w:eastAsia="Arial" w:hAnsi="Arial"/>
          <w:b/>
          <w:bCs/>
          <w:color w:val="2563EB"/>
          <w:sz w:val="26"/>
          <w:szCs w:val="26"/>
        </w:rPr>
        <w:t xml:space="preserve">5.1 Per-Partner Setup</w:t>
      </w:r>
    </w:p>
    <w:p>
      <w:pPr>
        <w:spacing w:before="80" w:after="20"/>
        <w:ind w:left="360"/>
      </w:pPr>
      <w:r>
        <w:rPr>
          <w:rFonts w:ascii="Arial" w:cs="Arial" w:eastAsia="Arial" w:hAnsi="Arial"/>
          <w:b/>
          <w:bCs/>
          <w:color w:val="2563EB"/>
          <w:sz w:val="22"/>
          <w:szCs w:val="22"/>
        </w:rPr>
        <w:t xml:space="preserve">Step 1  </w:t>
      </w:r>
      <w:r>
        <w:rPr>
          <w:rFonts w:ascii="Arial" w:cs="Arial" w:eastAsia="Arial" w:hAnsi="Arial"/>
          <w:b/>
          <w:bCs/>
          <w:color w:val="1F2937"/>
          <w:sz w:val="22"/>
          <w:szCs w:val="22"/>
        </w:rPr>
        <w:t xml:space="preserve">Provision tenant</w:t>
      </w:r>
      <w:r>
        <w:rPr>
          <w:rFonts w:ascii="Arial" w:cs="Arial" w:eastAsia="Arial" w:hAnsi="Arial"/>
          <w:color w:val="6B7280"/>
          <w:sz w:val="20"/>
          <w:szCs w:val="20"/>
        </w:rPr>
        <w:t xml:space="preserve">  — INSERT into tenants + tenant_users in Supabase SQL Editor</w:t>
      </w:r>
    </w:p>
    <w:p>
      <w:pPr>
        <w:spacing w:before="80" w:after="20"/>
        <w:ind w:left="360"/>
      </w:pPr>
      <w:r>
        <w:rPr>
          <w:rFonts w:ascii="Arial" w:cs="Arial" w:eastAsia="Arial" w:hAnsi="Arial"/>
          <w:b/>
          <w:bCs/>
          <w:color w:val="2563EB"/>
          <w:sz w:val="22"/>
          <w:szCs w:val="22"/>
        </w:rPr>
        <w:t xml:space="preserve">Step 2  </w:t>
      </w:r>
      <w:r>
        <w:rPr>
          <w:rFonts w:ascii="Arial" w:cs="Arial" w:eastAsia="Arial" w:hAnsi="Arial"/>
          <w:b/>
          <w:bCs/>
          <w:color w:val="1F2937"/>
          <w:sz w:val="22"/>
          <w:szCs w:val="22"/>
        </w:rPr>
        <w:t xml:space="preserve">Grant module access</w:t>
      </w:r>
      <w:r>
        <w:rPr>
          <w:rFonts w:ascii="Arial" w:cs="Arial" w:eastAsia="Arial" w:hAnsi="Arial"/>
          <w:color w:val="6B7280"/>
          <w:sz w:val="20"/>
          <w:szCs w:val="20"/>
        </w:rPr>
        <w:t xml:space="preserve">  — INSERT into module_subscriptions — minimum: mqtt module</w:t>
      </w:r>
    </w:p>
    <w:p>
      <w:pPr>
        <w:spacing w:before="80" w:after="20"/>
        <w:ind w:left="360"/>
      </w:pPr>
      <w:r>
        <w:rPr>
          <w:rFonts w:ascii="Arial" w:cs="Arial" w:eastAsia="Arial" w:hAnsi="Arial"/>
          <w:b/>
          <w:bCs/>
          <w:color w:val="2563EB"/>
          <w:sz w:val="22"/>
          <w:szCs w:val="22"/>
        </w:rPr>
        <w:t xml:space="preserve">Step 3  </w:t>
      </w:r>
      <w:r>
        <w:rPr>
          <w:rFonts w:ascii="Arial" w:cs="Arial" w:eastAsia="Arial" w:hAnsi="Arial"/>
          <w:b/>
          <w:bCs/>
          <w:color w:val="1F2937"/>
          <w:sz w:val="22"/>
          <w:szCs w:val="22"/>
        </w:rPr>
        <w:t xml:space="preserve">Seed intent artifact</w:t>
      </w:r>
      <w:r>
        <w:rPr>
          <w:rFonts w:ascii="Arial" w:cs="Arial" w:eastAsia="Arial" w:hAnsi="Arial"/>
          <w:color w:val="6B7280"/>
          <w:sz w:val="20"/>
          <w:szCs w:val="20"/>
        </w:rPr>
        <w:t xml:space="preserve">  — POST /api/intent with their known topic and baseline definition</w:t>
      </w:r>
    </w:p>
    <w:p>
      <w:pPr>
        <w:spacing w:before="80" w:after="20"/>
        <w:ind w:left="360"/>
      </w:pPr>
      <w:r>
        <w:rPr>
          <w:rFonts w:ascii="Arial" w:cs="Arial" w:eastAsia="Arial" w:hAnsi="Arial"/>
          <w:b/>
          <w:bCs/>
          <w:color w:val="2563EB"/>
          <w:sz w:val="22"/>
          <w:szCs w:val="22"/>
        </w:rPr>
        <w:t xml:space="preserve">Step 4  </w:t>
      </w:r>
      <w:r>
        <w:rPr>
          <w:rFonts w:ascii="Arial" w:cs="Arial" w:eastAsia="Arial" w:hAnsi="Arial"/>
          <w:b/>
          <w:bCs/>
          <w:color w:val="1F2937"/>
          <w:sz w:val="22"/>
          <w:szCs w:val="22"/>
        </w:rPr>
        <w:t xml:space="preserve">Activate intent version</w:t>
      </w:r>
      <w:r>
        <w:rPr>
          <w:rFonts w:ascii="Arial" w:cs="Arial" w:eastAsia="Arial" w:hAnsi="Arial"/>
          <w:color w:val="6B7280"/>
          <w:sz w:val="20"/>
          <w:szCs w:val="20"/>
        </w:rPr>
        <w:t xml:space="preserve">  — PATCH /api/intent/:id/versions/:vid/activate</w:t>
      </w:r>
    </w:p>
    <w:p>
      <w:pPr>
        <w:spacing w:before="80" w:after="20"/>
        <w:ind w:left="360"/>
      </w:pPr>
      <w:r>
        <w:rPr>
          <w:rFonts w:ascii="Arial" w:cs="Arial" w:eastAsia="Arial" w:hAnsi="Arial"/>
          <w:b/>
          <w:bCs/>
          <w:color w:val="2563EB"/>
          <w:sz w:val="22"/>
          <w:szCs w:val="22"/>
        </w:rPr>
        <w:t xml:space="preserve">Step 5  </w:t>
      </w:r>
      <w:r>
        <w:rPr>
          <w:rFonts w:ascii="Arial" w:cs="Arial" w:eastAsia="Arial" w:hAnsi="Arial"/>
          <w:b/>
          <w:bCs/>
          <w:color w:val="1F2937"/>
          <w:sz w:val="22"/>
          <w:szCs w:val="22"/>
        </w:rPr>
        <w:t xml:space="preserve">Share connection details</w:t>
      </w:r>
      <w:r>
        <w:rPr>
          <w:rFonts w:ascii="Arial" w:cs="Arial" w:eastAsia="Arial" w:hAnsi="Arial"/>
          <w:color w:val="6B7280"/>
          <w:sz w:val="20"/>
          <w:szCs w:val="20"/>
        </w:rPr>
        <w:t xml:space="preserve">  — API base URL + their tenant credentials</w:t>
      </w:r>
    </w:p>
    <w:p/>
    <w:p>
      <w:pPr>
        <w:pStyle w:val="Heading2"/>
        <w:spacing w:before="240" w:after="80"/>
      </w:pPr>
      <w:r>
        <w:rPr>
          <w:rFonts w:ascii="Arial" w:cs="Arial" w:eastAsia="Arial" w:hAnsi="Arial"/>
          <w:b/>
          <w:bCs/>
          <w:color w:val="2563EB"/>
          <w:sz w:val="26"/>
          <w:szCs w:val="26"/>
        </w:rPr>
        <w:t xml:space="preserve">5.2 Tenant Provisioning SQL</w:t>
      </w:r>
    </w:p>
    <w:p>
      <w:pPr>
        <w:spacing w:before="60" w:after="80"/>
      </w:pPr>
      <w:r>
        <w:rPr>
          <w:rFonts w:ascii="Arial" w:cs="Arial" w:eastAsia="Arial" w:hAnsi="Arial"/>
          <w:color w:val="1F2937"/>
          <w:sz w:val="22"/>
          <w:szCs w:val="22"/>
        </w:rPr>
        <w:t xml:space="preserve">Run in Supabase SQL Editor, substituting real values:</w:t>
      </w:r>
    </w:p>
    <w:p>
      <w:pPr>
        <w:shd w:fill="F1F5F9" w:val="clear"/>
        <w:spacing w:before="60" w:after="60"/>
        <w:ind w:left="360" w:right="360"/>
      </w:pPr>
      <w:r>
        <w:rPr>
          <w:rFonts w:ascii="Courier New" w:cs="Courier New" w:eastAsia="Courier New" w:hAnsi="Courier New"/>
          <w:color w:val="1F2937"/>
          <w:sz w:val="18"/>
          <w:szCs w:val="18"/>
        </w:rPr>
        <w:t xml:space="preserve">-- 1. Create tenant</w:t>
      </w:r>
    </w:p>
    <w:p>
      <w:pPr>
        <w:shd w:fill="F1F5F9" w:val="clear"/>
        <w:spacing w:before="60" w:after="60"/>
        <w:ind w:left="360" w:right="360"/>
      </w:pPr>
      <w:r>
        <w:rPr>
          <w:rFonts w:ascii="Courier New" w:cs="Courier New" w:eastAsia="Courier New" w:hAnsi="Courier New"/>
          <w:color w:val="1F2937"/>
          <w:sz w:val="18"/>
          <w:szCs w:val="18"/>
        </w:rPr>
        <w:t xml:space="preserve">INSERT INTO tenants (name) VALUES ('Partner Name') RETURNING id;</w:t>
      </w:r>
    </w:p>
    <w:p>
      <w:pPr>
        <w:shd w:fill="F1F5F9" w:val="clear"/>
        <w:spacing w:before="60" w:after="60"/>
        <w:ind w:left="360" w:right="360"/>
      </w:pPr>
      <w:r>
        <w:rPr>
          <w:rFonts w:ascii="Courier New" w:cs="Courier New" w:eastAsia="Courier New" w:hAnsi="Courier New"/>
          <w:color w:val="1F2937"/>
          <w:sz w:val="18"/>
          <w:szCs w:val="18"/>
        </w:rPr>
        <w:t xml:space="preserve"/>
      </w:r>
    </w:p>
    <w:p>
      <w:pPr>
        <w:shd w:fill="F1F5F9" w:val="clear"/>
        <w:spacing w:before="60" w:after="60"/>
        <w:ind w:left="360" w:right="360"/>
      </w:pPr>
      <w:r>
        <w:rPr>
          <w:rFonts w:ascii="Courier New" w:cs="Courier New" w:eastAsia="Courier New" w:hAnsi="Courier New"/>
          <w:color w:val="1F2937"/>
          <w:sz w:val="18"/>
          <w:szCs w:val="18"/>
        </w:rPr>
        <w:t xml:space="preserve">-- 2. Link their Supabase auth user to the tenant</w:t>
      </w:r>
    </w:p>
    <w:p>
      <w:pPr>
        <w:shd w:fill="F1F5F9" w:val="clear"/>
        <w:spacing w:before="60" w:after="60"/>
        <w:ind w:left="360" w:right="360"/>
      </w:pPr>
      <w:r>
        <w:rPr>
          <w:rFonts w:ascii="Courier New" w:cs="Courier New" w:eastAsia="Courier New" w:hAnsi="Courier New"/>
          <w:color w:val="1F2937"/>
          <w:sz w:val="18"/>
          <w:szCs w:val="18"/>
        </w:rPr>
        <w:t xml:space="preserve">-- (user must have signed up first so auth.users row exists)</w:t>
      </w:r>
    </w:p>
    <w:p>
      <w:pPr>
        <w:shd w:fill="F1F5F9" w:val="clear"/>
        <w:spacing w:before="60" w:after="60"/>
        <w:ind w:left="360" w:right="360"/>
      </w:pPr>
      <w:r>
        <w:rPr>
          <w:rFonts w:ascii="Courier New" w:cs="Courier New" w:eastAsia="Courier New" w:hAnsi="Courier New"/>
          <w:color w:val="1F2937"/>
          <w:sz w:val="18"/>
          <w:szCs w:val="18"/>
        </w:rPr>
        <w:t xml:space="preserve">INSERT INTO tenant_users (tenant_id, user_id, role)</w:t>
      </w:r>
    </w:p>
    <w:p>
      <w:pPr>
        <w:shd w:fill="F1F5F9" w:val="clear"/>
        <w:spacing w:before="60" w:after="60"/>
        <w:ind w:left="360" w:right="360"/>
      </w:pPr>
      <w:r>
        <w:rPr>
          <w:rFonts w:ascii="Courier New" w:cs="Courier New" w:eastAsia="Courier New" w:hAnsi="Courier New"/>
          <w:color w:val="1F2937"/>
          <w:sz w:val="18"/>
          <w:szCs w:val="18"/>
        </w:rPr>
        <w:t xml:space="preserve">VALUES ('&lt;tenant-id&gt;', '&lt;auth-user-id&gt;', 'owner');</w:t>
      </w:r>
    </w:p>
    <w:p>
      <w:pPr>
        <w:shd w:fill="F1F5F9" w:val="clear"/>
        <w:spacing w:before="60" w:after="60"/>
        <w:ind w:left="360" w:right="360"/>
      </w:pPr>
      <w:r>
        <w:rPr>
          <w:rFonts w:ascii="Courier New" w:cs="Courier New" w:eastAsia="Courier New" w:hAnsi="Courier New"/>
          <w:color w:val="1F2937"/>
          <w:sz w:val="18"/>
          <w:szCs w:val="18"/>
        </w:rPr>
        <w:t xml:space="preserve"/>
      </w:r>
    </w:p>
    <w:p>
      <w:pPr>
        <w:shd w:fill="F1F5F9" w:val="clear"/>
        <w:spacing w:before="60" w:after="60"/>
        <w:ind w:left="360" w:right="360"/>
      </w:pPr>
      <w:r>
        <w:rPr>
          <w:rFonts w:ascii="Courier New" w:cs="Courier New" w:eastAsia="Courier New" w:hAnsi="Courier New"/>
          <w:color w:val="1F2937"/>
          <w:sz w:val="18"/>
          <w:szCs w:val="18"/>
        </w:rPr>
        <w:t xml:space="preserve">-- 3. Grant MQTT module access</w:t>
      </w:r>
    </w:p>
    <w:p>
      <w:pPr>
        <w:shd w:fill="F1F5F9" w:val="clear"/>
        <w:spacing w:before="60" w:after="60"/>
        <w:ind w:left="360" w:right="360"/>
      </w:pPr>
      <w:r>
        <w:rPr>
          <w:rFonts w:ascii="Courier New" w:cs="Courier New" w:eastAsia="Courier New" w:hAnsi="Courier New"/>
          <w:color w:val="1F2937"/>
          <w:sz w:val="18"/>
          <w:szCs w:val="18"/>
        </w:rPr>
        <w:t xml:space="preserve">INSERT INTO module_subscriptions (tenant_id, module)</w:t>
      </w:r>
    </w:p>
    <w:p>
      <w:pPr>
        <w:shd w:fill="F1F5F9" w:val="clear"/>
        <w:spacing w:before="60" w:after="60"/>
        <w:ind w:left="360" w:right="360"/>
      </w:pPr>
      <w:r>
        <w:rPr>
          <w:rFonts w:ascii="Courier New" w:cs="Courier New" w:eastAsia="Courier New" w:hAnsi="Courier New"/>
          <w:color w:val="1F2937"/>
          <w:sz w:val="18"/>
          <w:szCs w:val="18"/>
        </w:rPr>
        <w:t xml:space="preserve">VALUES ('&lt;tenant-id&gt;', 'mqtt');</w:t>
      </w:r>
    </w:p>
    <w:p/>
    <w:p>
      <w:pPr>
        <w:pStyle w:val="Heading2"/>
        <w:spacing w:before="240" w:after="80"/>
      </w:pPr>
      <w:r>
        <w:rPr>
          <w:rFonts w:ascii="Arial" w:cs="Arial" w:eastAsia="Arial" w:hAnsi="Arial"/>
          <w:b/>
          <w:bCs/>
          <w:color w:val="2563EB"/>
          <w:sz w:val="26"/>
          <w:szCs w:val="26"/>
        </w:rPr>
        <w:t xml:space="preserve">5.3 What to Tell Partners</w:t>
      </w:r>
    </w:p>
    <w:p>
      <w:pPr>
        <w:spacing w:before="60" w:after="80"/>
      </w:pPr>
      <w:r>
        <w:rPr>
          <w:rFonts w:ascii="Arial" w:cs="Arial" w:eastAsia="Arial" w:hAnsi="Arial"/>
          <w:color w:val="1F2937"/>
          <w:sz w:val="22"/>
          <w:szCs w:val="22"/>
        </w:rPr>
        <w:t xml:space="preserve">One-paragraph brief for new design partners:</w:t>
      </w:r>
    </w:p>
    <w:p/>
    <w:p>
      <w:pPr>
        <w:pBdr>
          <w:left w:val="single" w:color="2563EB" w:sz="8" w:space="6"/>
        </w:pBdr>
        <w:shd w:fill="EFF6FF" w:val="clear"/>
        <w:spacing w:before="80" w:after="80"/>
        <w:ind w:left="360" w:right="360"/>
      </w:pPr>
      <w:r>
        <w:rPr>
          <w:rFonts w:ascii="Arial" w:cs="Arial" w:eastAsia="Arial" w:hAnsi="Arial"/>
          <w:b/>
          <w:bCs/>
          <w:color w:val="1F2937"/>
          <w:sz w:val="22"/>
          <w:szCs w:val="22"/>
        </w:rPr>
        <w:t xml:space="preserve">What you have access to: </w:t>
      </w:r>
      <w:r>
        <w:rPr>
          <w:rFonts w:ascii="Arial" w:cs="Arial" w:eastAsia="Arial" w:hAnsi="Arial"/>
          <w:color w:val="1F2937"/>
          <w:sz w:val="22"/>
          <w:szCs w:val="22"/>
        </w:rPr>
        <w:t xml:space="preserve">CAV Level 1 (observed truth + divergence detection) and CAV Level 3–4 (declared intent, formal alignment deltas, envelope breach events). The system compares what your MQTT topics actually do against what you declare they should do, and alerts you when they drift outside tolerance. </w:t>
      </w:r>
      <w:r>
        <w:rPr>
          <w:rFonts w:ascii="Arial" w:cs="Arial" w:eastAsia="Arial" w:hAnsi="Arial"/>
          <w:b/>
          <w:bCs/>
          <w:color w:val="1F2937"/>
          <w:sz w:val="22"/>
          <w:szCs w:val="22"/>
        </w:rPr>
        <w:t xml:space="preserve">What is not here yet: </w:t>
      </w:r>
      <w:r>
        <w:rPr>
          <w:rFonts w:ascii="Arial" w:cs="Arial" w:eastAsia="Arial" w:hAnsi="Arial"/>
          <w:color w:val="1F2937"/>
          <w:sz w:val="22"/>
          <w:szCs w:val="22"/>
        </w:rPr>
        <w:t xml:space="preserve">drift velocity trending (v3) and automated remediation (v4).</w:t>
      </w:r>
    </w:p>
    <w:p/>
    <w:p>
      <w:pPr>
        <w:pStyle w:val="Heading1"/>
        <w:pageBreakBefore/>
      </w:pPr>
      <w:r>
        <w:rPr>
          <w:rFonts w:ascii="Arial" w:cs="Arial" w:eastAsia="Arial" w:hAnsi="Arial"/>
          <w:b/>
          <w:bCs/>
          <w:color w:val="1F2937"/>
          <w:sz w:val="32"/>
          <w:szCs w:val="32"/>
        </w:rPr>
        <w:t xml:space="preserve">6. Incident Response</w:t>
      </w:r>
    </w:p>
    <w:p>
      <w:pPr>
        <w:pStyle w:val="Heading2"/>
        <w:spacing w:before="240" w:after="80"/>
      </w:pPr>
      <w:r>
        <w:rPr>
          <w:rFonts w:ascii="Arial" w:cs="Arial" w:eastAsia="Arial" w:hAnsi="Arial"/>
          <w:b/>
          <w:bCs/>
          <w:color w:val="2563EB"/>
          <w:sz w:val="26"/>
          <w:szCs w:val="26"/>
        </w:rPr>
        <w:t xml:space="preserve">6.1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960"/>
        <w:gridCol w:w="2400"/>
      </w:tblGrid>
      <w:tr>
        <w:tc>
          <w:tcPr>
            <w:tcW w:type="dxa" w:w="120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80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96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40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P1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Complete outage or data breach</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down, DB inaccessible, key leaked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Immediate</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D97706"/>
                <w:sz w:val="20"/>
                <w:szCs w:val="20"/>
              </w:rPr>
              <w:t xml:space="preserve">P2</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Major feature broken, data at risk</w:t>
            </w:r>
          </w:p>
        </w:tc>
        <w:tc>
          <w:tcPr>
            <w:tcW w:type="dxa" w:w="2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Ingestion stopped, RLS bypass detected</w:t>
            </w:r>
          </w:p>
        </w:tc>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D97706"/>
                <w:sz w:val="20"/>
                <w:szCs w:val="20"/>
              </w:rPr>
              <w:t xml:space="preserve">Same day</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P3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Degraded performance or minor bug</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Slow queries, WS disconnects, UI errors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Next business day</w:t>
            </w:r>
          </w:p>
        </w:tc>
      </w:tr>
    </w:tbl>
    <w:p/>
    <w:p>
      <w:pPr>
        <w:pStyle w:val="Heading2"/>
        <w:spacing w:before="240" w:after="80"/>
      </w:pPr>
      <w:r>
        <w:rPr>
          <w:rFonts w:ascii="Arial" w:cs="Arial" w:eastAsia="Arial" w:hAnsi="Arial"/>
          <w:b/>
          <w:bCs/>
          <w:color w:val="2563EB"/>
          <w:sz w:val="26"/>
          <w:szCs w:val="26"/>
        </w:rPr>
        <w:t xml:space="preserve">6.2 P1 Response Procedure — Suspected Secret Leak</w:t>
      </w:r>
    </w:p>
    <w:p>
      <w:pPr>
        <w:spacing w:before="80" w:after="20"/>
        <w:ind w:left="360"/>
      </w:pPr>
      <w:r>
        <w:rPr>
          <w:rFonts w:ascii="Arial" w:cs="Arial" w:eastAsia="Arial" w:hAnsi="Arial"/>
          <w:b/>
          <w:bCs/>
          <w:color w:val="2563EB"/>
          <w:sz w:val="22"/>
          <w:szCs w:val="22"/>
        </w:rPr>
        <w:t xml:space="preserve">Step 1  </w:t>
      </w:r>
      <w:r>
        <w:rPr>
          <w:rFonts w:ascii="Arial" w:cs="Arial" w:eastAsia="Arial" w:hAnsi="Arial"/>
          <w:b/>
          <w:bCs/>
          <w:color w:val="1F2937"/>
          <w:sz w:val="22"/>
          <w:szCs w:val="22"/>
        </w:rPr>
        <w:t xml:space="preserve">Immediately rotate the affected key</w:t>
      </w:r>
      <w:r>
        <w:rPr>
          <w:rFonts w:ascii="Arial" w:cs="Arial" w:eastAsia="Arial" w:hAnsi="Arial"/>
          <w:color w:val="6B7280"/>
          <w:sz w:val="20"/>
          <w:szCs w:val="20"/>
        </w:rPr>
        <w:t xml:space="preserve">  — see Section 3.4 for service role key, Section 3.3 for encryption key</w:t>
      </w:r>
    </w:p>
    <w:p>
      <w:pPr>
        <w:spacing w:before="80" w:after="20"/>
        <w:ind w:left="360"/>
      </w:pPr>
      <w:r>
        <w:rPr>
          <w:rFonts w:ascii="Arial" w:cs="Arial" w:eastAsia="Arial" w:hAnsi="Arial"/>
          <w:b/>
          <w:bCs/>
          <w:color w:val="2563EB"/>
          <w:sz w:val="22"/>
          <w:szCs w:val="22"/>
        </w:rPr>
        <w:t xml:space="preserve">Step 2  </w:t>
      </w:r>
      <w:r>
        <w:rPr>
          <w:rFonts w:ascii="Arial" w:cs="Arial" w:eastAsia="Arial" w:hAnsi="Arial"/>
          <w:b/>
          <w:bCs/>
          <w:color w:val="1F2937"/>
          <w:sz w:val="22"/>
          <w:szCs w:val="22"/>
        </w:rPr>
        <w:t xml:space="preserve">Revoke any active sessions if possible</w:t>
      </w:r>
      <w:r>
        <w:rPr>
          <w:rFonts w:ascii="Arial" w:cs="Arial" w:eastAsia="Arial" w:hAnsi="Arial"/>
          <w:color w:val="6B7280"/>
          <w:sz w:val="20"/>
          <w:szCs w:val="20"/>
        </w:rPr>
        <w:t xml:space="preserve">  — Supabase Auth → Users → Invalidate sessions</w:t>
      </w:r>
    </w:p>
    <w:p>
      <w:pPr>
        <w:spacing w:before="80" w:after="20"/>
        <w:ind w:left="360"/>
      </w:pPr>
      <w:r>
        <w:rPr>
          <w:rFonts w:ascii="Arial" w:cs="Arial" w:eastAsia="Arial" w:hAnsi="Arial"/>
          <w:b/>
          <w:bCs/>
          <w:color w:val="2563EB"/>
          <w:sz w:val="22"/>
          <w:szCs w:val="22"/>
        </w:rPr>
        <w:t xml:space="preserve">Step 3  </w:t>
      </w:r>
      <w:r>
        <w:rPr>
          <w:rFonts w:ascii="Arial" w:cs="Arial" w:eastAsia="Arial" w:hAnsi="Arial"/>
          <w:b/>
          <w:bCs/>
          <w:color w:val="1F2937"/>
          <w:sz w:val="22"/>
          <w:szCs w:val="22"/>
        </w:rPr>
        <w:t xml:space="preserve">Review recent DB access logs</w:t>
      </w:r>
      <w:r>
        <w:rPr>
          <w:rFonts w:ascii="Arial" w:cs="Arial" w:eastAsia="Arial" w:hAnsi="Arial"/>
          <w:color w:val="6B7280"/>
          <w:sz w:val="20"/>
          <w:szCs w:val="20"/>
        </w:rPr>
        <w:t xml:space="preserve">  — Supabase dashboard → Logs → Postgres</w:t>
      </w:r>
    </w:p>
    <w:p>
      <w:pPr>
        <w:spacing w:before="80" w:after="20"/>
        <w:ind w:left="360"/>
      </w:pPr>
      <w:r>
        <w:rPr>
          <w:rFonts w:ascii="Arial" w:cs="Arial" w:eastAsia="Arial" w:hAnsi="Arial"/>
          <w:b/>
          <w:bCs/>
          <w:color w:val="2563EB"/>
          <w:sz w:val="22"/>
          <w:szCs w:val="22"/>
        </w:rPr>
        <w:t xml:space="preserve">Step 4  </w:t>
      </w:r>
      <w:r>
        <w:rPr>
          <w:rFonts w:ascii="Arial" w:cs="Arial" w:eastAsia="Arial" w:hAnsi="Arial"/>
          <w:b/>
          <w:bCs/>
          <w:color w:val="1F2937"/>
          <w:sz w:val="22"/>
          <w:szCs w:val="22"/>
        </w:rPr>
        <w:t xml:space="preserve">Assess blast radius</w:t>
      </w:r>
      <w:r>
        <w:rPr>
          <w:rFonts w:ascii="Arial" w:cs="Arial" w:eastAsia="Arial" w:hAnsi="Arial"/>
          <w:color w:val="6B7280"/>
          <w:sz w:val="20"/>
          <w:szCs w:val="20"/>
        </w:rPr>
        <w:t xml:space="preserve">  — what data could have been accessed or modified?</w:t>
      </w:r>
    </w:p>
    <w:p>
      <w:pPr>
        <w:spacing w:before="80" w:after="80"/>
        <w:ind w:left="360"/>
      </w:pPr>
      <w:r>
        <w:rPr>
          <w:rFonts w:ascii="Arial" w:cs="Arial" w:eastAsia="Arial" w:hAnsi="Arial"/>
          <w:b/>
          <w:bCs/>
          <w:color w:val="2563EB"/>
          <w:sz w:val="22"/>
          <w:szCs w:val="22"/>
        </w:rPr>
        <w:t xml:space="preserve">Step 5  </w:t>
      </w:r>
      <w:r>
        <w:rPr>
          <w:rFonts w:ascii="Arial" w:cs="Arial" w:eastAsia="Arial" w:hAnsi="Arial"/>
          <w:b/>
          <w:bCs/>
          <w:color w:val="1F2937"/>
          <w:sz w:val="22"/>
          <w:szCs w:val="22"/>
        </w:rPr>
        <w:t xml:space="preserve">Notify affected tenants if customer data was at risk</w:t>
      </w:r>
    </w:p>
    <w:p>
      <w:pPr>
        <w:spacing w:before="80" w:after="20"/>
        <w:ind w:left="360"/>
      </w:pPr>
      <w:r>
        <w:rPr>
          <w:rFonts w:ascii="Arial" w:cs="Arial" w:eastAsia="Arial" w:hAnsi="Arial"/>
          <w:b/>
          <w:bCs/>
          <w:color w:val="2563EB"/>
          <w:sz w:val="22"/>
          <w:szCs w:val="22"/>
        </w:rPr>
        <w:t xml:space="preserve">Step 6  </w:t>
      </w:r>
      <w:r>
        <w:rPr>
          <w:rFonts w:ascii="Arial" w:cs="Arial" w:eastAsia="Arial" w:hAnsi="Arial"/>
          <w:b/>
          <w:bCs/>
          <w:color w:val="1F2937"/>
          <w:sz w:val="22"/>
          <w:szCs w:val="22"/>
        </w:rPr>
        <w:t xml:space="preserve">Document the incident</w:t>
      </w:r>
      <w:r>
        <w:rPr>
          <w:rFonts w:ascii="Arial" w:cs="Arial" w:eastAsia="Arial" w:hAnsi="Arial"/>
          <w:color w:val="6B7280"/>
          <w:sz w:val="20"/>
          <w:szCs w:val="20"/>
        </w:rPr>
        <w:t xml:space="preserve">  — what happened, when, what was done, what was confirmed</w:t>
      </w:r>
    </w:p>
    <w:p/>
    <w:p>
      <w:pPr>
        <w:pStyle w:val="Heading2"/>
        <w:spacing w:before="240" w:after="80"/>
      </w:pPr>
      <w:r>
        <w:rPr>
          <w:rFonts w:ascii="Arial" w:cs="Arial" w:eastAsia="Arial" w:hAnsi="Arial"/>
          <w:b/>
          <w:bCs/>
          <w:color w:val="2563EB"/>
          <w:sz w:val="26"/>
          <w:szCs w:val="26"/>
        </w:rPr>
        <w:t xml:space="preserve">6.3 P1 Response Procedure — API Down</w:t>
      </w:r>
    </w:p>
    <w:p>
      <w:pPr>
        <w:spacing w:before="80" w:after="80"/>
        <w:ind w:left="360"/>
      </w:pPr>
      <w:r>
        <w:rPr>
          <w:rFonts w:ascii="Arial" w:cs="Arial" w:eastAsia="Arial" w:hAnsi="Arial"/>
          <w:b/>
          <w:bCs/>
          <w:color w:val="2563EB"/>
          <w:sz w:val="22"/>
          <w:szCs w:val="22"/>
        </w:rPr>
        <w:t xml:space="preserve">Step 1  </w:t>
      </w:r>
      <w:r>
        <w:rPr>
          <w:rFonts w:ascii="Arial" w:cs="Arial" w:eastAsia="Arial" w:hAnsi="Arial"/>
          <w:b/>
          <w:bCs/>
          <w:color w:val="1F2937"/>
          <w:sz w:val="22"/>
          <w:szCs w:val="22"/>
        </w:rPr>
        <w:t xml:space="preserve">Check hosting provider status page</w:t>
      </w:r>
    </w:p>
    <w:p>
      <w:pPr>
        <w:spacing w:before="80" w:after="20"/>
        <w:ind w:left="360"/>
      </w:pPr>
      <w:r>
        <w:rPr>
          <w:rFonts w:ascii="Arial" w:cs="Arial" w:eastAsia="Arial" w:hAnsi="Arial"/>
          <w:b/>
          <w:bCs/>
          <w:color w:val="2563EB"/>
          <w:sz w:val="22"/>
          <w:szCs w:val="22"/>
        </w:rPr>
        <w:t xml:space="preserve">Step 2  </w:t>
      </w:r>
      <w:r>
        <w:rPr>
          <w:rFonts w:ascii="Arial" w:cs="Arial" w:eastAsia="Arial" w:hAnsi="Arial"/>
          <w:b/>
          <w:bCs/>
          <w:color w:val="1F2937"/>
          <w:sz w:val="22"/>
          <w:szCs w:val="22"/>
        </w:rPr>
        <w:t xml:space="preserve">Check Supabase status</w:t>
      </w:r>
      <w:r>
        <w:rPr>
          <w:rFonts w:ascii="Arial" w:cs="Arial" w:eastAsia="Arial" w:hAnsi="Arial"/>
          <w:color w:val="6B7280"/>
          <w:sz w:val="20"/>
          <w:szCs w:val="20"/>
        </w:rPr>
        <w:t xml:space="preserve">  — status.supabase.com</w:t>
      </w:r>
    </w:p>
    <w:p>
      <w:pPr>
        <w:spacing w:before="80" w:after="20"/>
        <w:ind w:left="360"/>
      </w:pPr>
      <w:r>
        <w:rPr>
          <w:rFonts w:ascii="Arial" w:cs="Arial" w:eastAsia="Arial" w:hAnsi="Arial"/>
          <w:b/>
          <w:bCs/>
          <w:color w:val="2563EB"/>
          <w:sz w:val="22"/>
          <w:szCs w:val="22"/>
        </w:rPr>
        <w:t xml:space="preserve">Step 3  </w:t>
      </w:r>
      <w:r>
        <w:rPr>
          <w:rFonts w:ascii="Arial" w:cs="Arial" w:eastAsia="Arial" w:hAnsi="Arial"/>
          <w:b/>
          <w:bCs/>
          <w:color w:val="1F2937"/>
          <w:sz w:val="22"/>
          <w:szCs w:val="22"/>
        </w:rPr>
        <w:t xml:space="preserve">Check recent deployments</w:t>
      </w:r>
      <w:r>
        <w:rPr>
          <w:rFonts w:ascii="Arial" w:cs="Arial" w:eastAsia="Arial" w:hAnsi="Arial"/>
          <w:color w:val="6B7280"/>
          <w:sz w:val="20"/>
          <w:szCs w:val="20"/>
        </w:rPr>
        <w:t xml:space="preserve">  — was there a deploy in the last hour?</w:t>
      </w:r>
    </w:p>
    <w:p>
      <w:pPr>
        <w:spacing w:before="80" w:after="20"/>
        <w:ind w:left="360"/>
      </w:pPr>
      <w:r>
        <w:rPr>
          <w:rFonts w:ascii="Arial" w:cs="Arial" w:eastAsia="Arial" w:hAnsi="Arial"/>
          <w:b/>
          <w:bCs/>
          <w:color w:val="2563EB"/>
          <w:sz w:val="22"/>
          <w:szCs w:val="22"/>
        </w:rPr>
        <w:t xml:space="preserve">Step 4  </w:t>
      </w:r>
      <w:r>
        <w:rPr>
          <w:rFonts w:ascii="Arial" w:cs="Arial" w:eastAsia="Arial" w:hAnsi="Arial"/>
          <w:b/>
          <w:bCs/>
          <w:color w:val="1F2937"/>
          <w:sz w:val="22"/>
          <w:szCs w:val="22"/>
        </w:rPr>
        <w:t xml:space="preserve">Check environment variables</w:t>
      </w:r>
      <w:r>
        <w:rPr>
          <w:rFonts w:ascii="Arial" w:cs="Arial" w:eastAsia="Arial" w:hAnsi="Arial"/>
          <w:color w:val="6B7280"/>
          <w:sz w:val="20"/>
          <w:szCs w:val="20"/>
        </w:rPr>
        <w:t xml:space="preserve">  — are all required vars present and correct?</w:t>
      </w:r>
    </w:p>
    <w:p>
      <w:pPr>
        <w:spacing w:before="80" w:after="80"/>
        <w:ind w:left="360"/>
      </w:pPr>
      <w:r>
        <w:rPr>
          <w:rFonts w:ascii="Arial" w:cs="Arial" w:eastAsia="Arial" w:hAnsi="Arial"/>
          <w:b/>
          <w:bCs/>
          <w:color w:val="2563EB"/>
          <w:sz w:val="22"/>
          <w:szCs w:val="22"/>
        </w:rPr>
        <w:t xml:space="preserve">Step 5  </w:t>
      </w:r>
      <w:r>
        <w:rPr>
          <w:rFonts w:ascii="Arial" w:cs="Arial" w:eastAsia="Arial" w:hAnsi="Arial"/>
          <w:b/>
          <w:bCs/>
          <w:color w:val="1F2937"/>
          <w:sz w:val="22"/>
          <w:szCs w:val="22"/>
        </w:rPr>
        <w:t xml:space="preserve">Restart the API process</w:t>
      </w:r>
    </w:p>
    <w:p>
      <w:pPr>
        <w:spacing w:before="80" w:after="80"/>
        <w:ind w:left="360"/>
      </w:pPr>
      <w:r>
        <w:rPr>
          <w:rFonts w:ascii="Arial" w:cs="Arial" w:eastAsia="Arial" w:hAnsi="Arial"/>
          <w:b/>
          <w:bCs/>
          <w:color w:val="2563EB"/>
          <w:sz w:val="22"/>
          <w:szCs w:val="22"/>
        </w:rPr>
        <w:t xml:space="preserve">Step 6  </w:t>
      </w:r>
      <w:r>
        <w:rPr>
          <w:rFonts w:ascii="Arial" w:cs="Arial" w:eastAsia="Arial" w:hAnsi="Arial"/>
          <w:b/>
          <w:bCs/>
          <w:color w:val="1F2937"/>
          <w:sz w:val="22"/>
          <w:szCs w:val="22"/>
        </w:rPr>
        <w:t xml:space="preserve">If not resolved within 30 minutes: roll back to previous deploy</w:t>
      </w:r>
    </w:p>
    <w:p/>
    <w:p>
      <w:pPr>
        <w:pStyle w:val="Heading2"/>
        <w:spacing w:before="240" w:after="80"/>
      </w:pPr>
      <w:r>
        <w:rPr>
          <w:rFonts w:ascii="Arial" w:cs="Arial" w:eastAsia="Arial" w:hAnsi="Arial"/>
          <w:b/>
          <w:bCs/>
          <w:color w:val="2563EB"/>
          <w:sz w:val="26"/>
          <w:szCs w:val="26"/>
        </w:rPr>
        <w:t xml:space="preserve">6.4 P2 Response Procedure — RLS Bypass Detected</w:t>
      </w:r>
    </w:p>
    <w:p>
      <w:pPr>
        <w:pBdr>
          <w:left w:val="single" w:color="DC2626" w:sz="12" w:space="6"/>
        </w:pBdr>
        <w:shd w:fill="EFF6FF" w:val="clear"/>
        <w:spacing w:before="100" w:after="100"/>
        <w:ind w:left="360" w:right="360"/>
      </w:pPr>
      <w:r>
        <w:rPr>
          <w:rFonts w:ascii="Arial" w:cs="Arial" w:eastAsia="Arial" w:hAnsi="Arial"/>
          <w:i/>
          <w:iCs/>
          <w:color w:val="1F2937"/>
          <w:sz w:val="20"/>
          <w:szCs w:val="20"/>
        </w:rPr>
        <w:t xml:space="preserve">A cross-tenant data leak is the highest-priority security event. Treat as P1 if any customer data was exposed.</w:t>
      </w:r>
    </w:p>
    <w:p/>
    <w:p>
      <w:pPr>
        <w:spacing w:before="80" w:after="80"/>
        <w:ind w:left="360"/>
      </w:pPr>
      <w:r>
        <w:rPr>
          <w:rFonts w:ascii="Arial" w:cs="Arial" w:eastAsia="Arial" w:hAnsi="Arial"/>
          <w:b/>
          <w:bCs/>
          <w:color w:val="2563EB"/>
          <w:sz w:val="22"/>
          <w:szCs w:val="22"/>
        </w:rPr>
        <w:t xml:space="preserve">Step 1  </w:t>
      </w:r>
      <w:r>
        <w:rPr>
          <w:rFonts w:ascii="Arial" w:cs="Arial" w:eastAsia="Arial" w:hAnsi="Arial"/>
          <w:b/>
          <w:bCs/>
          <w:color w:val="1F2937"/>
          <w:sz w:val="22"/>
          <w:szCs w:val="22"/>
        </w:rPr>
        <w:t xml:space="preserve">Immediately restrict external access if possible</w:t>
      </w:r>
    </w:p>
    <w:p>
      <w:pPr>
        <w:spacing w:before="80" w:after="20"/>
        <w:ind w:left="360"/>
      </w:pPr>
      <w:r>
        <w:rPr>
          <w:rFonts w:ascii="Arial" w:cs="Arial" w:eastAsia="Arial" w:hAnsi="Arial"/>
          <w:b/>
          <w:bCs/>
          <w:color w:val="2563EB"/>
          <w:sz w:val="22"/>
          <w:szCs w:val="22"/>
        </w:rPr>
        <w:t xml:space="preserve">Step 2  </w:t>
      </w:r>
      <w:r>
        <w:rPr>
          <w:rFonts w:ascii="Arial" w:cs="Arial" w:eastAsia="Arial" w:hAnsi="Arial"/>
          <w:b/>
          <w:bCs/>
          <w:color w:val="1F2937"/>
          <w:sz w:val="22"/>
          <w:szCs w:val="22"/>
        </w:rPr>
        <w:t xml:space="preserve">Run cross-tenant isolation query to confirm scope</w:t>
      </w:r>
      <w:r>
        <w:rPr>
          <w:rFonts w:ascii="Arial" w:cs="Arial" w:eastAsia="Arial" w:hAnsi="Arial"/>
          <w:color w:val="6B7280"/>
          <w:sz w:val="20"/>
          <w:szCs w:val="20"/>
        </w:rPr>
        <w:t xml:space="preserve">  — SELECT from affected table with a known Tenant A user — confirm Tenant B rows are not returned</w:t>
      </w:r>
    </w:p>
    <w:p>
      <w:pPr>
        <w:spacing w:before="80" w:after="20"/>
        <w:ind w:left="360"/>
      </w:pPr>
      <w:r>
        <w:rPr>
          <w:rFonts w:ascii="Arial" w:cs="Arial" w:eastAsia="Arial" w:hAnsi="Arial"/>
          <w:b/>
          <w:bCs/>
          <w:color w:val="2563EB"/>
          <w:sz w:val="22"/>
          <w:szCs w:val="22"/>
        </w:rPr>
        <w:t xml:space="preserve">Step 3  </w:t>
      </w:r>
      <w:r>
        <w:rPr>
          <w:rFonts w:ascii="Arial" w:cs="Arial" w:eastAsia="Arial" w:hAnsi="Arial"/>
          <w:b/>
          <w:bCs/>
          <w:color w:val="1F2937"/>
          <w:sz w:val="22"/>
          <w:szCs w:val="22"/>
        </w:rPr>
        <w:t xml:space="preserve">Identify which policy is missing or broken</w:t>
      </w:r>
      <w:r>
        <w:rPr>
          <w:rFonts w:ascii="Arial" w:cs="Arial" w:eastAsia="Arial" w:hAnsi="Arial"/>
          <w:color w:val="6B7280"/>
          <w:sz w:val="20"/>
          <w:szCs w:val="20"/>
        </w:rPr>
        <w:t xml:space="preserve">  — pg_policies query — see Section 2.4</w:t>
      </w:r>
    </w:p>
    <w:p>
      <w:pPr>
        <w:spacing w:before="80" w:after="80"/>
        <w:ind w:left="360"/>
      </w:pPr>
      <w:r>
        <w:rPr>
          <w:rFonts w:ascii="Arial" w:cs="Arial" w:eastAsia="Arial" w:hAnsi="Arial"/>
          <w:b/>
          <w:bCs/>
          <w:color w:val="2563EB"/>
          <w:sz w:val="22"/>
          <w:szCs w:val="22"/>
        </w:rPr>
        <w:t xml:space="preserve">Step 4  </w:t>
      </w:r>
      <w:r>
        <w:rPr>
          <w:rFonts w:ascii="Arial" w:cs="Arial" w:eastAsia="Arial" w:hAnsi="Arial"/>
          <w:b/>
          <w:bCs/>
          <w:color w:val="1F2937"/>
          <w:sz w:val="22"/>
          <w:szCs w:val="22"/>
        </w:rPr>
        <w:t xml:space="preserve">Fix the policy in a migration and run on staging first</w:t>
      </w:r>
    </w:p>
    <w:p>
      <w:pPr>
        <w:spacing w:before="80" w:after="80"/>
        <w:ind w:left="360"/>
      </w:pPr>
      <w:r>
        <w:rPr>
          <w:rFonts w:ascii="Arial" w:cs="Arial" w:eastAsia="Arial" w:hAnsi="Arial"/>
          <w:b/>
          <w:bCs/>
          <w:color w:val="2563EB"/>
          <w:sz w:val="22"/>
          <w:szCs w:val="22"/>
        </w:rPr>
        <w:t xml:space="preserve">Step 5  </w:t>
      </w:r>
      <w:r>
        <w:rPr>
          <w:rFonts w:ascii="Arial" w:cs="Arial" w:eastAsia="Arial" w:hAnsi="Arial"/>
          <w:b/>
          <w:bCs/>
          <w:color w:val="1F2937"/>
          <w:sz w:val="22"/>
          <w:szCs w:val="22"/>
        </w:rPr>
        <w:t xml:space="preserve">Verify fix on staging, then promote to production</w:t>
      </w:r>
    </w:p>
    <w:p>
      <w:pPr>
        <w:spacing w:before="80" w:after="80"/>
        <w:ind w:left="360"/>
      </w:pPr>
      <w:r>
        <w:rPr>
          <w:rFonts w:ascii="Arial" w:cs="Arial" w:eastAsia="Arial" w:hAnsi="Arial"/>
          <w:b/>
          <w:bCs/>
          <w:color w:val="2563EB"/>
          <w:sz w:val="22"/>
          <w:szCs w:val="22"/>
        </w:rPr>
        <w:t xml:space="preserve">Step 6  </w:t>
      </w:r>
      <w:r>
        <w:rPr>
          <w:rFonts w:ascii="Arial" w:cs="Arial" w:eastAsia="Arial" w:hAnsi="Arial"/>
          <w:b/>
          <w:bCs/>
          <w:color w:val="1F2937"/>
          <w:sz w:val="22"/>
          <w:szCs w:val="22"/>
        </w:rPr>
        <w:t xml:space="preserve">Notify affected tenants if their data was exposed to another tenant</w:t>
      </w:r>
    </w:p>
    <w:p/>
    <w:p>
      <w:pPr>
        <w:pStyle w:val="Heading1"/>
        <w:pageBreakBefore/>
      </w:pPr>
      <w:r>
        <w:rPr>
          <w:rFonts w:ascii="Arial" w:cs="Arial" w:eastAsia="Arial" w:hAnsi="Arial"/>
          <w:b/>
          <w:bCs/>
          <w:color w:val="1F2937"/>
          <w:sz w:val="32"/>
          <w:szCs w:val="32"/>
        </w:rPr>
        <w:t xml:space="preserve">7. Tracked Post-Staging Work Items</w:t>
      </w:r>
    </w:p>
    <w:p>
      <w:pPr>
        <w:spacing w:before="60" w:after="80"/>
      </w:pPr>
      <w:r>
        <w:rPr>
          <w:rFonts w:ascii="Arial" w:cs="Arial" w:eastAsia="Arial" w:hAnsi="Arial"/>
          <w:color w:val="1F2937"/>
          <w:sz w:val="22"/>
          <w:szCs w:val="22"/>
        </w:rPr>
        <w:t xml:space="preserve">Items raised during v2 implementation and governance review. None block design partner pilots.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200"/>
        <w:gridCol w:w="1200"/>
      </w:tblGrid>
      <w:tr>
        <w:tc>
          <w:tcPr>
            <w:tcW w:type="dxa" w:w="360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36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Blocks</w:t>
            </w:r>
          </w:p>
        </w:tc>
        <w:tc>
          <w:tcPr>
            <w:tcW w:type="dxa" w:w="1200"/>
            <w:tcBorders>
              <w:top w:val="single" w:color="CBD5E1" w:sz="1"/>
              <w:left w:val="single" w:color="CBD5E1" w:sz="1"/>
              <w:bottom w:val="single" w:color="CBD5E1" w:sz="1"/>
              <w:right w:val="single" w:color="CBD5E1"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Module entitlement names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Define "intent-registry" and "formal-deltas" module names in cav-core; enforce in routes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Commercial pricing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Pre-launch</w:t>
            </w:r>
          </w:p>
        </w:tc>
      </w:tr>
      <w:tr>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Credential re-encryption script</w:t>
            </w:r>
          </w:p>
        </w:tc>
        <w:tc>
          <w:tcPr>
            <w:tcW w:type="dxa" w:w="3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Script to re-encrypt all protocol_connections rows with a new key (supports key rotation)</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Key rotation</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Pre-launch</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Retention windows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Define and enforce per-table TTL: observed truths, divergence events, deltas, audit logs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Privacy Standard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Pre-launch</w:t>
            </w:r>
          </w:p>
        </w:tc>
      </w:tr>
      <w:tr>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 deletion endpoint</w:t>
            </w:r>
          </w:p>
        </w:tc>
        <w:tc>
          <w:tcPr>
            <w:tcW w:type="dxa" w:w="3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endpoint + documented procedure for tenant data deletion (GDPR readiness)</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Privacy Standard</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Pre-launch</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CI/CD pipeline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Automated type-check, lint, and test on push to master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Security Standard §9</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Post-pilot</w:t>
            </w:r>
          </w:p>
        </w:tc>
      </w:tr>
      <w:tr>
        <w:tc>
          <w:tcPr>
            <w:tcW w:type="dxa" w:w="3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TLS enforcement</w:t>
            </w:r>
          </w:p>
        </w:tc>
        <w:tc>
          <w:tcPr>
            <w:tcW w:type="dxa" w:w="3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Confirm TLS on all hosting traffic; reject insecure broker configs in production</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Security Standard §5</w:t>
            </w:r>
          </w:p>
        </w:tc>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Post-pilot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Privacy Policy + Cookie Policy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Public-facing docs aligned to actual data handling behaviour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Public launch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Pre-launch</w:t>
            </w:r>
          </w:p>
        </w:tc>
      </w:tr>
    </w:tbl>
    <w:p/>
    <w:p>
      <w:pPr>
        <w:pStyle w:val="Heading1"/>
        <w:pageBreakBefore/>
      </w:pPr>
      <w:r>
        <w:rPr>
          <w:rFonts w:ascii="Arial" w:cs="Arial" w:eastAsia="Arial" w:hAnsi="Arial"/>
          <w:b/>
          <w:bCs/>
          <w:color w:val="1F2937"/>
          <w:sz w:val="32"/>
          <w:szCs w:val="32"/>
        </w:rPr>
        <w:t xml:space="preserve">8. Document Maintenance</w:t>
      </w:r>
    </w:p>
    <w:p>
      <w:pPr>
        <w:spacing w:before="60" w:after="80"/>
      </w:pPr>
      <w:r>
        <w:rPr>
          <w:rFonts w:ascii="Arial" w:cs="Arial" w:eastAsia="Arial" w:hAnsi="Arial"/>
          <w:color w:val="1F2937"/>
          <w:sz w:val="22"/>
          <w:szCs w:val="22"/>
        </w:rPr>
        <w:t xml:space="preserve">This runbook must be updated when any of the following change:</w:t>
      </w:r>
    </w:p>
    <w:p>
      <w:pPr>
        <w:pStyle w:val="ListParagraph"/>
        <w:numPr>
          <w:ilvl w:val="0"/>
          <w:numId w:val="2"/>
        </w:numPr>
        <w:spacing w:before="40" w:after="40"/>
      </w:pPr>
      <w:r>
        <w:rPr>
          <w:rFonts w:ascii="Arial" w:cs="Arial" w:eastAsia="Arial" w:hAnsi="Arial"/>
          <w:b w:val="false"/>
          <w:bCs w:val="false"/>
          <w:color w:val="1F2937"/>
          <w:sz w:val="22"/>
          <w:szCs w:val="22"/>
        </w:rPr>
        <w:t xml:space="preserve">Environment configuration or Supabase project structure</w:t>
      </w:r>
    </w:p>
    <w:p>
      <w:pPr>
        <w:pStyle w:val="ListParagraph"/>
        <w:numPr>
          <w:ilvl w:val="0"/>
          <w:numId w:val="2"/>
        </w:numPr>
        <w:spacing w:before="40" w:after="40"/>
      </w:pPr>
      <w:r>
        <w:rPr>
          <w:rFonts w:ascii="Arial" w:cs="Arial" w:eastAsia="Arial" w:hAnsi="Arial"/>
          <w:b w:val="false"/>
          <w:bCs w:val="false"/>
          <w:color w:val="1F2937"/>
          <w:sz w:val="22"/>
          <w:szCs w:val="22"/>
        </w:rPr>
        <w:t xml:space="preserve">Deployment procedure or hosting provider</w:t>
      </w:r>
    </w:p>
    <w:p>
      <w:pPr>
        <w:pStyle w:val="ListParagraph"/>
        <w:numPr>
          <w:ilvl w:val="0"/>
          <w:numId w:val="2"/>
        </w:numPr>
        <w:spacing w:before="40" w:after="40"/>
      </w:pPr>
      <w:r>
        <w:rPr>
          <w:rFonts w:ascii="Arial" w:cs="Arial" w:eastAsia="Arial" w:hAnsi="Arial"/>
          <w:b w:val="false"/>
          <w:bCs w:val="false"/>
          <w:color w:val="1F2937"/>
          <w:sz w:val="22"/>
          <w:szCs w:val="22"/>
        </w:rPr>
        <w:t xml:space="preserve">Secret rotation procedure</w:t>
      </w:r>
    </w:p>
    <w:p>
      <w:pPr>
        <w:pStyle w:val="ListParagraph"/>
        <w:numPr>
          <w:ilvl w:val="0"/>
          <w:numId w:val="2"/>
        </w:numPr>
        <w:spacing w:before="40" w:after="40"/>
      </w:pPr>
      <w:r>
        <w:rPr>
          <w:rFonts w:ascii="Arial" w:cs="Arial" w:eastAsia="Arial" w:hAnsi="Arial"/>
          <w:b w:val="false"/>
          <w:bCs w:val="false"/>
          <w:color w:val="1F2937"/>
          <w:sz w:val="22"/>
          <w:szCs w:val="22"/>
        </w:rPr>
        <w:t xml:space="preserve">Incident response contacts or escalation path</w:t>
      </w:r>
    </w:p>
    <w:p>
      <w:pPr>
        <w:pStyle w:val="ListParagraph"/>
        <w:numPr>
          <w:ilvl w:val="0"/>
          <w:numId w:val="2"/>
        </w:numPr>
        <w:spacing w:before="40" w:after="40"/>
      </w:pPr>
      <w:r>
        <w:rPr>
          <w:rFonts w:ascii="Arial" w:cs="Arial" w:eastAsia="Arial" w:hAnsi="Arial"/>
          <w:b w:val="false"/>
          <w:bCs w:val="false"/>
          <w:color w:val="1F2937"/>
          <w:sz w:val="22"/>
          <w:szCs w:val="22"/>
        </w:rPr>
        <w:t xml:space="preserve">Tracked work items are completed or new ones are added</w:t>
      </w:r>
    </w:p>
    <w:p/>
    <w:p>
      <w:pPr>
        <w:spacing w:before="60" w:after="80"/>
      </w:pPr>
      <w:r>
        <w:rPr>
          <w:rFonts w:ascii="Arial" w:cs="Arial" w:eastAsia="Arial" w:hAnsi="Arial"/>
          <w:b/>
          <w:bCs/>
          <w:color w:val="1F2937"/>
          <w:sz w:val="22"/>
          <w:szCs w:val="22"/>
        </w:rPr>
        <w:t xml:space="preserve">Referenced by:</w:t>
      </w:r>
    </w:p>
    <w:p>
      <w:pPr>
        <w:pStyle w:val="ListParagraph"/>
        <w:numPr>
          <w:ilvl w:val="0"/>
          <w:numId w:val="2"/>
        </w:numPr>
        <w:spacing w:before="40" w:after="40"/>
      </w:pPr>
      <w:r>
        <w:rPr>
          <w:rFonts w:ascii="Arial" w:cs="Arial" w:eastAsia="Arial" w:hAnsi="Arial"/>
          <w:b w:val="false"/>
          <w:bCs w:val="false"/>
          <w:color w:val="1F2937"/>
          <w:sz w:val="22"/>
          <w:szCs w:val="22"/>
        </w:rPr>
        <w:t xml:space="preserve">CAV Levels Roadmap Consolidated v1.1 — Section 7</w:t>
      </w:r>
    </w:p>
    <w:p>
      <w:pPr>
        <w:pStyle w:val="ListParagraph"/>
        <w:numPr>
          <w:ilvl w:val="0"/>
          <w:numId w:val="2"/>
        </w:numPr>
        <w:spacing w:before="40" w:after="40"/>
      </w:pPr>
      <w:r>
        <w:rPr>
          <w:rFonts w:ascii="Arial" w:cs="Arial" w:eastAsia="Arial" w:hAnsi="Arial"/>
          <w:b w:val="false"/>
          <w:bCs w:val="false"/>
          <w:color w:val="1F2937"/>
          <w:sz w:val="22"/>
          <w:szCs w:val="22"/>
        </w:rPr>
        <w:t xml:space="preserve">Cavalieri Align Security Baseline Standard v1 — Section 9</w:t>
      </w:r>
    </w:p>
    <w:p>
      <w:pPr>
        <w:pStyle w:val="ListParagraph"/>
        <w:numPr>
          <w:ilvl w:val="0"/>
          <w:numId w:val="2"/>
        </w:numPr>
        <w:spacing w:before="40" w:after="40"/>
      </w:pPr>
      <w:r>
        <w:rPr>
          <w:rFonts w:ascii="Arial" w:cs="Arial" w:eastAsia="Arial" w:hAnsi="Arial"/>
          <w:b w:val="false"/>
          <w:bCs w:val="false"/>
          <w:color w:val="1F2937"/>
          <w:sz w:val="22"/>
          <w:szCs w:val="22"/>
        </w:rPr>
        <w:t xml:space="preserve">v2 Implementation Sign-Off Declaration — Section 5</w:t>
      </w:r>
    </w:p>
    <w:p/>
    <w:p>
      <w:pPr>
        <w:pBdr>
          <w:left w:val="single" w:color="2563EB" w:sz="12" w:space="6"/>
        </w:pBdr>
        <w:shd w:fill="EFF6FF" w:val="clear"/>
        <w:spacing w:before="100" w:after="100"/>
        <w:ind w:left="360" w:right="360"/>
      </w:pPr>
      <w:r>
        <w:rPr>
          <w:rFonts w:ascii="Arial" w:cs="Arial" w:eastAsia="Arial" w:hAnsi="Arial"/>
          <w:i/>
          <w:iCs/>
          <w:color w:val="1F2937"/>
          <w:sz w:val="20"/>
          <w:szCs w:val="20"/>
        </w:rPr>
        <w:t xml:space="preserve">Commit updates to governance/ with a version bump in the filename. The current authoritative version is always the highest-numbered file in that directory.</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tabs>
        <w:tab w:val="right" w:pos="9026"/>
      </w:tabs>
    </w:pPr>
    <w:r>
      <w:rPr>
        <w:rFonts w:ascii="Arial" w:cs="Arial" w:eastAsia="Arial" w:hAnsi="Arial"/>
        <w:color w:val="6B7280"/>
        <w:sz w:val="18"/>
        <w:szCs w:val="18"/>
      </w:rPr>
      <w:t xml:space="preserve">Cavalieri Align — Operations Runbook v1</w:t>
    </w:r>
    <w:r>
      <w:rPr>
        <w:rFonts w:ascii="Arial" w:cs="Arial" w:eastAsia="Arial" w:hAnsi="Arial"/>
        <w:sz w:val="18"/>
        <w:szCs w:val="18"/>
      </w:rPr>
      <w:t xml:space="preserve">	</w:t>
    </w:r>
    <w:r>
      <w:rPr>
        <w:rFonts w:ascii="Arial" w:cs="Arial" w:eastAsia="Arial" w:hAnsi="Arial"/>
        <w:i/>
        <w:iCs/>
        <w:color w:val="6B7280"/>
        <w:sz w:val="18"/>
        <w:szCs w:val="18"/>
      </w:rPr>
      <w:t xml:space="preserve">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2937"/>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563EB"/>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2026-02-20T10:23:44.096Z</dcterms:created>
  <dcterms:modified xsi:type="dcterms:W3CDTF">2026-02-20T10:23:44.097Z</dcterms:modified>
</cp:coreProperties>
</file>

<file path=docProps/custom.xml><?xml version="1.0" encoding="utf-8"?>
<Properties xmlns="http://schemas.openxmlformats.org/officeDocument/2006/custom-properties" xmlns:vt="http://schemas.openxmlformats.org/officeDocument/2006/docPropsVTypes"/>
</file>