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Cavalieri Align — Security Baseline Standard (v1)</w:t>
      </w:r>
    </w:p>
    <w:p>
      <w:r>
        <w:t>Date: 2026-02-20</w:t>
      </w:r>
    </w:p>
    <w:p>
      <w:r>
        <w:t>Scope: Applies to all Cavalieri Align products (web SaaS, APIs, and VS Code extension).</w:t>
        <w:br/>
      </w:r>
    </w:p>
    <w:p>
      <w:pPr>
        <w:pStyle w:val="Heading2"/>
      </w:pPr>
      <w:r>
        <w:t>1. Goals</w:t>
      </w:r>
    </w:p>
    <w:p>
      <w:r>
        <w:t>Establish a minimum security baseline for enterprise credibility and safe operation. This baseline is independent of CAV maturity level.</w:t>
      </w:r>
    </w:p>
    <w:p>
      <w:pPr>
        <w:pStyle w:val="Heading2"/>
      </w:pPr>
      <w:r>
        <w:t>2. Identity, Authentication, and Authorization</w:t>
      </w:r>
    </w:p>
    <w:p>
      <w:r>
        <w:t>- All production environments must require authentication (no insecure bypass).</w:t>
        <w:br/>
        <w:t>- JWT validation at the edge for HTTP and WebSocket handshakes.</w:t>
        <w:br/>
        <w:t>- TenantContext derived once per request/session and attached to the execution context.</w:t>
        <w:br/>
        <w:t>- Entitlements enforced for privileged actions (e.g., ingestion start, intent CRUD).</w:t>
        <w:br/>
        <w:t>- Principle of least privilege: use service-role only in server-side stores; never ship service keys to clients.</w:t>
      </w:r>
    </w:p>
    <w:p>
      <w:pPr>
        <w:pStyle w:val="Heading2"/>
      </w:pPr>
      <w:r>
        <w:t>3. Tenant Isolation</w:t>
      </w:r>
    </w:p>
    <w:p>
      <w:r>
        <w:t>- Every persistence call must be tenant-scoped.</w:t>
        <w:br/>
        <w:t>- Row-Level Security (RLS) enabled on all tenant-scoped tables.</w:t>
        <w:br/>
        <w:t>- Cross-tenant access tests must be executed in staging before external pilots.</w:t>
        <w:br/>
        <w:t>- Avoid implicit tenancy; store methods should require tenantId explicitly.</w:t>
      </w:r>
    </w:p>
    <w:p>
      <w:pPr>
        <w:pStyle w:val="Heading2"/>
      </w:pPr>
      <w:r>
        <w:t>4. Secrets and Credential Handling</w:t>
      </w:r>
    </w:p>
    <w:p>
      <w:r>
        <w:t>- Broker credentials and other secrets must be encrypted at rest (AES-256-GCM recommended).</w:t>
        <w:br/>
        <w:t>- Encryption keys must be supplied via secure environment configuration (not committed to repo).</w:t>
        <w:br/>
        <w:t>- Never log secrets or decrypted values.</w:t>
        <w:br/>
        <w:t>- Provide rotation guidance: key rotation procedure and blast-radius assessment.</w:t>
      </w:r>
    </w:p>
    <w:p>
      <w:pPr>
        <w:pStyle w:val="Heading2"/>
      </w:pPr>
      <w:r>
        <w:t>5. Transport Security</w:t>
      </w:r>
    </w:p>
    <w:p>
      <w:r>
        <w:t>- Enforce TLS for web/API traffic.</w:t>
        <w:br/>
        <w:t>- Broker connections should support TLS where available.</w:t>
        <w:br/>
        <w:t>- Reject insecure configurations in production (config validation).</w:t>
      </w:r>
    </w:p>
    <w:p>
      <w:pPr>
        <w:pStyle w:val="Heading2"/>
      </w:pPr>
      <w:r>
        <w:t>6. WebSocket Security</w:t>
      </w:r>
    </w:p>
    <w:p>
      <w:r>
        <w:t>- Authenticate at handshake.</w:t>
        <w:br/>
        <w:t>- Bind socket sessions to tenant and user context.</w:t>
        <w:br/>
        <w:t>- Restrict channels/subscriptions by tenant.</w:t>
        <w:br/>
        <w:t>- Apply rate limits and message size limits.</w:t>
      </w:r>
    </w:p>
    <w:p>
      <w:pPr>
        <w:pStyle w:val="Heading2"/>
      </w:pPr>
      <w:r>
        <w:t>7. Rate Limiting and Abuse Controls</w:t>
      </w:r>
    </w:p>
    <w:p>
      <w:r>
        <w:t>- Apply anonymous rate limiting globally.</w:t>
        <w:br/>
        <w:t>- Apply tenant-based rate limiting after authentication.</w:t>
        <w:br/>
        <w:t>- Apply WS per-tenant frame-rate limits.</w:t>
        <w:br/>
        <w:t>- Add payload size limits and request timeouts as appropriate.</w:t>
      </w:r>
    </w:p>
    <w:p>
      <w:pPr>
        <w:pStyle w:val="Heading2"/>
      </w:pPr>
      <w:r>
        <w:t>8. Logging, Audit, and Observability</w:t>
      </w:r>
    </w:p>
    <w:p>
      <w:r>
        <w:t>- Structured logging with requestId correlation.</w:t>
        <w:br/>
        <w:t>- Include tenantId and userId in server logs where available.</w:t>
        <w:br/>
        <w:t>- Maintain audit logs for security-relevant actions (CRUD connections, intent changes, session start/stop).</w:t>
        <w:br/>
        <w:t>- Health endpoints must report core subsystem status.</w:t>
        <w:br/>
        <w:t>- Metrics endpoints recommended for throughput and error rates.</w:t>
      </w:r>
    </w:p>
    <w:p>
      <w:pPr>
        <w:pStyle w:val="Heading2"/>
      </w:pPr>
      <w:r>
        <w:t>9. Secure Development and Release Practices</w:t>
      </w:r>
    </w:p>
    <w:p>
      <w:r>
        <w:t>- Separate staging and production environments.</w:t>
        <w:br/>
        <w:t>- Run automated tests and linting in CI.</w:t>
        <w:br/>
        <w:t>- Track dependencies and apply updates regularly.</w:t>
        <w:br/>
        <w:t>- Document incident response and escalation path.</w:t>
      </w:r>
    </w:p>
    <w:p>
      <w:pPr>
        <w:pStyle w:val="Heading2"/>
      </w:pPr>
      <w:r>
        <w:t>10. Required Pre-Deployment Checks</w:t>
      </w:r>
    </w:p>
    <w:p>
      <w:r>
        <w:t>- RLS enabled and verified.</w:t>
        <w:br/>
        <w:t>- Auth required in production.</w:t>
        <w:br/>
        <w:t>- Secrets encrypted at rest and key configured.</w:t>
        <w:br/>
        <w:t>- Rate limiting enabled.</w:t>
        <w:br/>
        <w:t>- Audit logging enabled.</w:t>
        <w:br/>
        <w:t>- Staging smoke test performed.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