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Cavalieri Align – MQTT-Align v1 (CAV Level 1) Hardening Sign-Off &amp; Compliance Declaration</w:t>
      </w:r>
    </w:p>
    <w:p>
      <w:r>
        <w:t>Date: 2026-02-19</w:t>
      </w:r>
    </w:p>
    <w:p>
      <w:r>
        <w:t>Audience: Development (Claude), internal stakeholders, design partners (as appropriate)</w:t>
      </w:r>
    </w:p>
    <w:p>
      <w:r>
        <w:t>Scope: MQTT-Align v1 – CAV Level 1 (Observed-State Divergence + Expected Divergence confirmation)</w:t>
        <w:br/>
      </w:r>
    </w:p>
    <w:p>
      <w:pPr>
        <w:pStyle w:val="Heading2"/>
      </w:pPr>
      <w:r>
        <w:t>1. Purpose</w:t>
      </w:r>
    </w:p>
    <w:p>
      <w:r>
        <w:t>This document records formal sign-off that the current MQTT-Align codebase meets the agreed Level 1 architectural hardening contract and remains within CAV Level 1 scope. It is intended to support enterprise pilot readiness, internal governance, and external technical credibility.</w:t>
      </w:r>
    </w:p>
    <w:p>
      <w:pPr>
        <w:pStyle w:val="Heading2"/>
      </w:pPr>
      <w:r>
        <w:t>2. Level 1 Scope Confirmation</w:t>
      </w:r>
    </w:p>
    <w:p>
      <w:r>
        <w:t>Confirmed in current implementation:</w:t>
      </w:r>
    </w:p>
    <w:p>
      <w:r>
        <w:t>- Observed Truth modeling (shape, cadence, domain)</w:t>
        <w:br/>
        <w:t>- Sustained divergence detection against observed baseline</w:t>
        <w:br/>
        <w:t>- Identity slicing support</w:t>
        <w:br/>
        <w:t>- Evidence persistence via centralized store layer</w:t>
        <w:br/>
        <w:t>- Expected Divergence as annotation/confirmation layer only</w:t>
      </w:r>
    </w:p>
    <w:p>
      <w:r>
        <w:t>Explicitly NOT implemented (and therefore remains out of scope):</w:t>
      </w:r>
    </w:p>
    <w:p>
      <w:r>
        <w:t>- Intent Registry / declared intent artifacts</w:t>
        <w:br/>
        <w:t>- Formal alignment delta math against declared intent</w:t>
        <w:br/>
        <w:t>- Envelope DSL based on declared expectations</w:t>
        <w:br/>
        <w:t>- Convergence enforcement automation</w:t>
        <w:br/>
        <w:t>- Multi-protocol expansion beyond MQTT as a marketed capability</w:t>
      </w:r>
    </w:p>
    <w:p>
      <w:pPr>
        <w:pStyle w:val="Heading2"/>
      </w:pPr>
      <w:r>
        <w:t>3. Enterprise Hardening Contract – Sign-Off Items</w:t>
      </w:r>
    </w:p>
    <w:p>
      <w:r>
        <w:t>The following architectural items are implemented and verified:</w:t>
      </w:r>
    </w:p>
    <w:p>
      <w:r>
        <w:t>1) Strict separation of concerns</w:t>
        <w:br/>
        <w:t xml:space="preserve">   - Engines are computation-only (no direct database calls)</w:t>
        <w:br/>
        <w:t xml:space="preserve">   - Stores are persistence-only (single Supabase access boundary)</w:t>
        <w:br/>
        <w:t xml:space="preserve">   - Routes/controllers are thin (no token re-parsing, no direct Supabase calls)</w:t>
        <w:br/>
        <w:br/>
        <w:t>2) TenantContext enforcement</w:t>
        <w:br/>
        <w:t xml:space="preserve">   - JWT validated and TenantContext attached via middleware</w:t>
        <w:br/>
        <w:t xml:space="preserve">   - tenantId explicitly required in store methods</w:t>
        <w:br/>
        <w:t xml:space="preserve">   - Module entitlements enforced where required (e.g., ingestion start)</w:t>
        <w:br/>
        <w:br/>
        <w:t>3) WebSocket security</w:t>
        <w:br/>
        <w:t xml:space="preserve">   - WS handshake authentication via JWT</w:t>
        <w:br/>
        <w:t xml:space="preserve">   - Tenant-bound sessions and channel access</w:t>
        <w:br/>
        <w:t xml:space="preserve">   - WS rate limiting present</w:t>
        <w:br/>
        <w:br/>
        <w:t>4) HTTP rate limiting</w:t>
        <w:br/>
        <w:t xml:space="preserve">   - Anonymous global rate limiting</w:t>
        <w:br/>
        <w:t xml:space="preserve">   - Tenant-based rate limiting on protected routes</w:t>
        <w:br/>
        <w:br/>
        <w:t>5) Secrets management</w:t>
        <w:br/>
        <w:t xml:space="preserve">   - Broker credentials encrypted at rest (AES-256-GCM)</w:t>
        <w:br/>
        <w:t xml:space="preserve">   - Decryption limited to operational use paths</w:t>
        <w:br/>
        <w:br/>
        <w:t>6) Operational credibility</w:t>
        <w:br/>
        <w:t xml:space="preserve">   - Structured logging with requestId correlation</w:t>
        <w:br/>
        <w:t xml:space="preserve">   - Health endpoint provides subsystem status and basic counts</w:t>
        <w:br/>
      </w:r>
    </w:p>
    <w:p>
      <w:pPr>
        <w:pStyle w:val="Heading2"/>
      </w:pPr>
      <w:r>
        <w:t>4. Sign-Off Statement</w:t>
      </w:r>
    </w:p>
    <w:p>
      <w:r>
        <w:t>Based on review of the current project archive, MQTT-Align v1 is approved as:</w:t>
        <w:br/>
        <w:t>- CAV Level 1 compliant (no scope creep into Level 3+)</w:t>
        <w:br/>
        <w:t>- Enterprise-credible for design partner pilots</w:t>
        <w:br/>
        <w:t>- Architecturally aligned with the hardening directive (stores-only persistence boundary, tenant isolation, secured WebSockets, and logging/health baseline)</w:t>
        <w:br/>
      </w:r>
    </w:p>
    <w:p>
      <w:pPr>
        <w:pStyle w:val="Heading2"/>
      </w:pPr>
      <w:r>
        <w:t>5. Remaining Preconditions for Pilot Deployment (Environment)</w:t>
      </w:r>
    </w:p>
    <w:p>
      <w:r>
        <w:t>Code hardening is complete. Before running external pilots, ensure environment-level prerequisites are verified:</w:t>
        <w:br/>
        <w:t>- Supabase RLS policies enabled on all tenant-scoped tables</w:t>
        <w:br/>
        <w:t>- Cross-tenant access test performed and confirmed to fail</w:t>
        <w:br/>
        <w:t>- Production auth bypass disabled (REQUIRE_AUTH=true / NODE_ENV=production)</w:t>
        <w:br/>
        <w:t>- Staging deployment created with monitoring/log capture enabled</w:t>
      </w:r>
    </w:p>
    <w:p>
      <w:pPr>
        <w:pStyle w:val="Heading2"/>
      </w:pPr>
      <w:r>
        <w:t>6. Change Control</w:t>
      </w:r>
    </w:p>
    <w:p>
      <w:r>
        <w:t>Any future changes that introduce declared intent artifacts, formal delta math, envelope DSL, or convergence logic must be treated as Level 3+ and require explicit approval prior to implementation or marketing claims.</w:t>
      </w:r>
    </w:p>
    <w:p>
      <w:r>
        <w:br/>
        <w:t>Signed-off by: ____________________________</w:t>
      </w:r>
    </w:p>
    <w:p>
      <w:r>
        <w:t>Role: Marketing / Technical Review</w:t>
      </w:r>
    </w:p>
    <w:p>
      <w:r>
        <w:t>Date: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