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</w:pPr>
      <w:r>
        <w:rPr>
          <w:rFonts w:ascii="Arial" w:cs="Arial" w:eastAsia="Arial" w:hAnsi="Arial"/>
          <w:b/>
          <w:bCs/>
          <w:color w:val="1F2937"/>
          <w:sz w:val="52"/>
          <w:szCs w:val="52"/>
        </w:rPr>
        <w:t xml:space="preserve">Cavalieri Align</w:t>
      </w:r>
    </w:p>
    <w:p>
      <w:pPr>
        <w:spacing w:before="0" w:after="80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v2 Implementation Sign-Off Declaration</w:t>
      </w:r>
    </w:p>
    <w:p>
      <w:pPr>
        <w:spacing w:before="0" w:after="6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CAV Level 3 (Intent Registry) + Level 4 (Formal Alignment Deltas + Envelopes)</w:t>
      </w:r>
    </w:p>
    <w:p>
      <w:pPr>
        <w:spacing w:before="0" w:after="240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Sign-off date: 2026-02-20     Status: </w:t>
      </w: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SIGNED — Approved for staging + design partner pilots</w:t>
      </w:r>
    </w:p>
    <w:p>
      <w:pPr>
        <w:pBdr>
          <w:top w:val="single" w:color="059669" w:sz="6" w:space="4"/>
          <w:bottom w:val="single" w:color="059669" w:sz="6" w:space="4"/>
          <w:left w:val="single" w:color="059669" w:sz="24" w:space="6"/>
          <w:right w:val="single" w:color="059669" w:sz="6" w:space="4"/>
        </w:pBdr>
        <w:shd w:fill="F0FDF4" w:val="clear"/>
        <w:spacing w:before="0" w:after="0"/>
        <w:ind w:left="360" w:right="360"/>
      </w:pPr>
      <w:r>
        <w:rPr>
          <w:rFonts w:ascii="Arial" w:cs="Arial" w:eastAsia="Arial" w:hAnsi="Arial"/>
          <w:b/>
          <w:bCs/>
          <w:caps/>
          <w:color w:val="059669"/>
          <w:sz w:val="18"/>
          <w:szCs w:val="18"/>
        </w:rPr>
        <w:t xml:space="preserve">Marketing-Approved Summary (external-safe)</w:t>
      </w:r>
    </w:p>
    <w:p>
      <w:pPr>
        <w:shd w:fill="F0FDF4" w:val="clear"/>
        <w:spacing w:before="0" w:after="0"/>
        <w:ind w:left="360" w:right="36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Cavalieri Align v2 is approved for staged rollout as a CAV Level 3–4 capability set: a versioned Intent Registry (Level 3) and deterministic, explainable Alignment Deltas with Envelope Breach events (Level 4). This release explicitly excludes Level 5 (drift velocity of deltas) and Level 6 (convergence enforcement). Any convergence-related records are measurement-only and user-logged; no automated remediation or policy hooks are included.</w:t>
      </w:r>
    </w:p>
    <w:p>
      <w:pPr>
        <w:shd w:fill="F0FDF4" w:val="clear"/>
        <w:spacing w:before="0" w:after="200"/>
        <w:ind w:left="360" w:right="3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Reviewed: 2026-02-20</w:t>
      </w:r>
    </w:p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Implementation Summary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v2 was built across four sessions following the signed architecture plan v0.2. All four sessions passed type-check with zero errors. v1 engines and stores were not modified.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4360"/>
        <w:gridCol w:w="14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cav-core types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intent.ts, delta.ts, breach.ts, ws-protocol.ts, index.ts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Clean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Pure engines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mqtt-wildcard.ts, intent-projection-engine.ts, delta-engine.ts, envelope-evaluator.ts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Clean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Stores + SQL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store files + migration SQL (20260219000001)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Clean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Orchestrator + Routes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ingestion-orchestrator.ts, intent.routes.ts, delta-breach.routes.ts, routes.ts, app.ts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Clean</w:t>
            </w:r>
          </w:p>
        </w:tc>
      </w:tr>
    </w:tbl>
    <w:p/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Architecture Plan Compliance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All items verified. Checkboxes filled by Marketing/Technical review (2026-02-20).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Guiding Constraints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v1 pipeline unchanged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ObservedTruthEngine, DivergenceEngine, ExpectedDivergenceMatcher not modified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v2 branch is parallel and non-blocking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runV2Branch() called with void — cannot crash v1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v2 branch is a no-op without active intent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Returns immediately if no active version found for topic+dimension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All new stores follow v1 hardening contract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Service-role client, explicit tenantId, .eq on every query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 Level 5 or Level 6 features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Drift velocity and convergence enforcement absent from all files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Data Model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intent_artifacts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Created with MQTT syntax validation, precedence field, RLS policy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intent_versions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Partial unique index enforces single active version per artifact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alignment_deltas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delta_value CHECK constraint [0,1], explainability JSONB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envelope_breaches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Partial unique index for one active breach per (tenant, topic, dimension, version)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convergence_actions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taken_by NOT NULL enforced at DB level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2.3 Engines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IntentProjectionEngine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MQTT wildcard matching, draft guard, most-specific-wins precedence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DeltaEngine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Deterministic, bounded [0,1], three D_k implementations, full explainability detail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EnvelopeEvaluator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Severity thresholds (minor/moderate/critical), tolerance extraction per dimension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2.4 Safe-by-Default Lifecycle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Draft versions never trigger deltas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IntentProjectionEngine returns null for non-active status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Activation requires explicit effective_from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Validated in activate() before any state change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Activating supersedes prior active version atomically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Single activate() call; sets effective_until + status = superseded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2.5 Convergence Action Guardrails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User-logged only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takenBy populated from req.tenantContext.user.id — never from request body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 automated creation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No engine, orchestrator, or background job inserts into convergence_actions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No webhooks or remediation handlers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Absent from all v2 files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Only permitted automation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Retrospective postActionDeltaId linking on breach resolve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2.6 API Surface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12 endpoints implemented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/api/intent (7), /api/deltas (2), /api/breaches (3)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All protected by tenantAuthMiddleware + tenantRateLimit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Inherited via protect middleware array in routes.ts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501 fallback when Supabase not configured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Null-guarded store instantiation throughout</w:t>
      </w:r>
    </w:p>
    <w:p/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2.7 WebSocket Frames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breach:detected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Includes reason string from delta_detail — no secondary API call needed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breach:resolved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Includes finalDeltaValue</w:t>
      </w:r>
    </w:p>
    <w:p>
      <w:pPr>
        <w:spacing w:before="60" w:after="20"/>
        <w:ind w:left="360"/>
      </w:pPr>
      <w:r>
        <w:rPr>
          <w:rFonts w:ascii="Arial" w:cs="Arial" w:eastAsia="Arial" w:hAnsi="Arial"/>
          <w:sz w:val="22"/>
          <w:szCs w:val="22"/>
        </w:rPr>
        <w:t xml:space="preserve">✅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intent:updated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— Broadcast on version activation</w:t>
      </w:r>
    </w:p>
    <w:p/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Scope Guardrail Audit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0"/>
        <w:gridCol w:w="2000"/>
        <w:gridCol w:w="2000"/>
      </w:tblGrid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Out-of-scope item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Present in code?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Verified by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Drift velocity V_k(t) = d/dt Delta_k(t) — Level 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 2026-02-20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Convergence enforcement / closed-loop remediation — Level 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 2026-02-20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Webhooks, remediation handlers, policy adapters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 2026-02-20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Auto-remediation of any kind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 2026-02-20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"Full CAV Compliance" claims in code or comments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 2026-02-20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Modifications to v1 engines (OT, Divergence, ExpectedDivergence)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 2026-02-20</w:t>
            </w:r>
          </w:p>
        </w:tc>
      </w:tr>
      <w:tr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Multi-protocol expansion beyond MQTT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No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0"/>
                <w:szCs w:val="20"/>
              </w:rPr>
              <w:t xml:space="preserve">Marketing 2026-02-20</w:t>
            </w:r>
          </w:p>
        </w:tc>
      </w:tr>
    </w:tbl>
    <w:p/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Marketing Claim Approval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160"/>
        <w:gridCol w:w="1600"/>
        <w:gridCol w:w="1600"/>
      </w:tblGrid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Approved?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"CAV Level 3 — Intent Registry"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"CAV Level 4 — Formal Alignment Deltas + Envelopes"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"Declared intent vs observed behavior (formal verification)"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"Evidence over dashboards"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"Drift velocity" as formal d/dt delta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Not v2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"Convergence enforcement" or "closed-loop"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Not v2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</w:t>
            </w:r>
          </w:p>
        </w:tc>
      </w:tr>
      <w:tr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"Full CAV Compliance"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Not v2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v4</w:t>
            </w:r>
          </w:p>
        </w:tc>
      </w:tr>
    </w:tbl>
    <w:p/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Required Before External Access</w:t>
      </w:r>
    </w:p>
    <w:p>
      <w:pPr>
        <w:pBdr>
          <w:left w:val="single" w:color="D97706" w:sz="12" w:space="6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i w:val="false"/>
          <w:iCs w:val="false"/>
          <w:color w:val="1F2937"/>
          <w:sz w:val="20"/>
          <w:szCs w:val="20"/>
        </w:rPr>
        <w:t xml:space="preserve">These are environment and operational prerequisites. All must be satisfied before design partner access is granted.</w:t>
      </w:r>
    </w:p>
    <w:p/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Run SQL migration 20260219000001_cav_v2_intent_delta_breach.sql against the staging Supabase instance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RLS policies: confirm cross-tenant intent artifact access returns 0 rows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partial unique index: confirm activating a second version auto-supersedes the first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Verify taken_by constraint: confirm convergence_actions INSERT without taken_by is rejected by DB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Confirm REQUIRE_AUTH=true (or NODE_ENV=production) on staging before design partner access</w:t>
      </w:r>
    </w:p>
    <w:p/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Post-Staging Tracked Items</w:t>
      </w:r>
    </w:p>
    <w:p>
      <w:pPr>
        <w:pBdr>
          <w:left w:val="single" w:color="D97706" w:sz="12" w:space="6"/>
        </w:pBdr>
        <w:shd w:fill="EFF6FF" w:val="clear"/>
        <w:spacing w:before="120" w:after="120"/>
        <w:ind w:left="360" w:right="360"/>
      </w:pPr>
      <w:r>
        <w:rPr>
          <w:rFonts w:ascii="Arial" w:cs="Arial" w:eastAsia="Arial" w:hAnsi="Arial"/>
          <w:i w:val="false"/>
          <w:iCs w:val="false"/>
          <w:color w:val="1F2937"/>
          <w:sz w:val="20"/>
          <w:szCs w:val="20"/>
        </w:rPr>
        <w:t xml:space="preserve">Non-blocking for sign-off. Required before v2 commercial pricing is published.</w:t>
      </w:r>
    </w:p>
    <w:p/>
    <w:p>
      <w:pPr>
        <w:spacing w:before="60" w:after="8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Module entitlement names for v2 features (raised by Marketing review):</w:t>
      </w:r>
    </w:p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Intent routes currently require a module entitlement check. Module names must be explicitly defined so that marketing/pricing packaging maps cleanly to the subscription tier model. Recommended names: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"intent-registry" — gates /api/intent endpoints (CAV Level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"formal-deltas" — gates /api/deltas and /api/breaches endpoints (CAV Level 4)</w:t>
      </w:r>
    </w:p>
    <w:p/>
    <w:p>
      <w:pPr>
        <w:spacing w:before="60" w:after="8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Action: define these module names in the ModuleSubscription type in cav-core and enforce them in the intent routes entitlement check. Timing: before v2 commercial pricing launch. Not required for design partner pilot access.</w:t>
      </w:r>
    </w:p>
    <w:p/>
    <w:p>
      <w:pPr>
        <w:pBdr>
          <w:bottom w:val="single" w:color="CBD5E1" w:sz="4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Sign-Off Record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Signed off by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Marketing/Technical Review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Marketing / Technical Review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2026-02-20</w:t>
            </w:r>
          </w:p>
        </w:tc>
      </w:tr>
    </w:tbl>
    <w:p/>
    <w:p/>
    <w:p>
      <w:pPr>
        <w:pBdr>
          <w:left w:val="single" w:color="059669" w:sz="12" w:space="6"/>
        </w:pBdr>
        <w:shd w:fill="DBEAFE" w:val="clear"/>
        <w:spacing w:before="120" w:after="120"/>
        <w:ind w:left="360" w:right="360"/>
      </w:pPr>
      <w:r>
        <w:rPr>
          <w:rFonts w:ascii="Arial" w:cs="Arial" w:eastAsia="Arial" w:hAnsi="Arial"/>
          <w:i w:val="false"/>
          <w:iCs w:val="false"/>
          <w:color w:val="1F2937"/>
          <w:sz w:val="20"/>
          <w:szCs w:val="20"/>
        </w:rPr>
        <w:t xml:space="preserve">This document is now committed to governance/ as the authoritative sign-off record for v2. Proceed: run SQL migration on staging, verify prerequisites in Section 5, then onboard design partners at CAV Level 3–4.</w:t>
      </w:r>
    </w:p>
    <w:sectPr>
      <w:head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026"/>
      </w:tabs>
    </w:pPr>
    <w:r>
      <w:rPr>
        <w:rFonts w:ascii="Arial" w:cs="Arial" w:eastAsia="Arial" w:hAnsi="Arial"/>
        <w:color w:val="6B7280"/>
        <w:sz w:val="18"/>
        <w:szCs w:val="18"/>
      </w:rPr>
      <w:t xml:space="preserve">Cavalieri Align — v2 Implementation Sign-Off  |  SIGNED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b/>
        <w:bCs/>
        <w:color w:val="059669"/>
        <w:sz w:val="18"/>
        <w:szCs w:val="18"/>
      </w:rPr>
      <w:t xml:space="preserve">governance/ — authoritative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2026-02-20T00:03:43.348Z</dcterms:created>
  <dcterms:modified xsi:type="dcterms:W3CDTF">2026-02-20T00:03:43.349Z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