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Cavalieri Align — MQTT-Align Canonical Positioning (v1)</w:t>
      </w:r>
    </w:p>
    <w:p>
      <w:r>
        <w:t>Date: 2026-02-19</w:t>
      </w:r>
    </w:p>
    <w:p>
      <w:r>
        <w:t>Audience: Internal (Founder, Development/Claude), Design Partners (as needed)</w:t>
      </w:r>
    </w:p>
    <w:p>
      <w:r>
        <w:t>Scope: MQTT-Align v1 (CAV Level 1 / 1.1)</w:t>
        <w:br/>
      </w:r>
    </w:p>
    <w:p>
      <w:pPr>
        <w:pStyle w:val="Heading2"/>
      </w:pPr>
      <w:r>
        <w:t>1. Hero Positioning</w:t>
      </w:r>
    </w:p>
    <w:p>
      <w:r>
        <w:t>Headline: Detect sustained MQTT drift before it breaks downstream systems.</w:t>
      </w:r>
    </w:p>
    <w:p>
      <w:r>
        <w:t>Subhead: MQTT-Align continuously models observed truth in your MQTT topics and flags structural and behavioral divergence—so integrations, analytics, and control systems don’t silently degrade.</w:t>
      </w:r>
    </w:p>
    <w:p>
      <w:pPr>
        <w:pStyle w:val="Heading2"/>
      </w:pPr>
      <w:r>
        <w:t>2. Category Statement</w:t>
      </w:r>
    </w:p>
    <w:p>
      <w:r>
        <w:t>MQTT-Align is an evidence-backed drift/divergence detection system for MQTT streams, implemented as continuous alignment verification against an observed baseline (CAV Level 1).</w:t>
      </w:r>
    </w:p>
    <w:p>
      <w:pPr>
        <w:pStyle w:val="Heading2"/>
      </w:pPr>
      <w:r>
        <w:t>3. Target Customer and Buyer</w:t>
      </w:r>
    </w:p>
    <w:p>
      <w:r>
        <w:t>Primary audience: Platform and engineering teams running MQTT-based operational systems with multi-team, multi-environment deployments and long-lived devices.</w:t>
        <w:br/>
        <w:br/>
        <w:t>Typical roles: Platform Lead, Staff/Principal Engineer, Engineering Manager, Director of Engineering, CTO (SMB/scale-up).</w:t>
      </w:r>
    </w:p>
    <w:p>
      <w:pPr>
        <w:pStyle w:val="Heading2"/>
      </w:pPr>
      <w:r>
        <w:t>4. Core Value Proposition</w:t>
      </w:r>
    </w:p>
    <w:p>
      <w:r>
        <w:t>MQTT-Align prevents silent breakage and slow degradation by:</w:t>
        <w:br/>
        <w:t>- Establishing an Observed Truth baseline over time (shape, cadence, domain)</w:t>
        <w:br/>
        <w:t>- Detecting sustained divergence (not just momentary anomalies)</w:t>
        <w:br/>
        <w:t>- Preserving evidence and timelines for investigation, governance, and root cause analysis</w:t>
        <w:br/>
        <w:t>- Supporting identity slicing to locate affected device cohorts or environments</w:t>
      </w:r>
    </w:p>
    <w:p>
      <w:pPr>
        <w:pStyle w:val="Heading2"/>
      </w:pPr>
      <w:r>
        <w:t>5. Enterprise Value Pillars (Ranked)</w:t>
      </w:r>
    </w:p>
    <w:p>
      <w:r>
        <w:t>1) Protect downstream integrations</w:t>
        <w:br/>
        <w:t xml:space="preserve">   - Prevents shape/cadence/domain drift from silently corrupting analytics, rule engines, ERP/WMS connectors, and control logic.</w:t>
        <w:br/>
        <w:br/>
        <w:t>2) Maintain consistency across environments</w:t>
        <w:br/>
        <w:t xml:space="preserve">   - Reveals multi-version and multi-site divergence with identity slicing and evidence-backed timelines.</w:t>
        <w:br/>
        <w:br/>
        <w:t>3) Confirm planned change windows</w:t>
        <w:br/>
        <w:t xml:space="preserve">   - Expected Divergence supports time-bound annotations and confirmation (confirmed / missed) without enforcing declared intent.</w:t>
      </w:r>
    </w:p>
    <w:p>
      <w:pPr>
        <w:pStyle w:val="Heading2"/>
      </w:pPr>
      <w:r>
        <w:t>6. What MQTT-Align Is Not (Positioning Clarity)</w:t>
      </w:r>
    </w:p>
    <w:p>
      <w:r>
        <w:t>- Not an MQTT broker</w:t>
        <w:br/>
        <w:t>- Not a schema registry or enforcement gateway</w:t>
        <w:br/>
        <w:t>- Not generic observability/metrics monitoring</w:t>
        <w:br/>
        <w:t>- Not an intent registry or formal alignment-delta platform (v1 stays within Level 1)</w:t>
      </w:r>
    </w:p>
    <w:p>
      <w:pPr>
        <w:pStyle w:val="Heading2"/>
      </w:pPr>
      <w:r>
        <w:t>7. Terminology Guardrails (Stay Within Level 1)</w:t>
      </w:r>
    </w:p>
    <w:p>
      <w:r>
        <w:t>Preferred terms for v1:</w:t>
        <w:br/>
        <w:t>- Observed Truth</w:t>
        <w:br/>
        <w:t>- Divergence / drift (relative to observed baseline)</w:t>
        <w:br/>
        <w:t>- Evidence-backed divergence events</w:t>
        <w:br/>
        <w:t>- Expected divergence confirmation (annotation)</w:t>
        <w:br/>
        <w:br/>
        <w:t>Avoid in v1 external messaging:</w:t>
        <w:br/>
        <w:t>- Intent Registry / Declared Intention</w:t>
        <w:br/>
        <w:t>- Alignment Delta (Δ_k(t))</w:t>
        <w:br/>
        <w:t>- Envelope breach DSL</w:t>
        <w:br/>
        <w:t>- Convergence enforcement</w:t>
        <w:br/>
        <w:t>- Full CAV compliance</w:t>
      </w:r>
    </w:p>
    <w:p>
      <w:pPr>
        <w:pStyle w:val="Heading2"/>
      </w:pPr>
      <w:r>
        <w:t>8. CTA Strategy</w:t>
      </w:r>
    </w:p>
    <w:p>
      <w:r>
        <w:t>Primary CTA: Run a proof session</w:t>
        <w:br/>
        <w:t>Secondary CTA: Request a pilot</w:t>
        <w:br/>
        <w:br/>
        <w:t>Proof session framing:</w:t>
        <w:br/>
        <w:t>- 30–60 minutes</w:t>
        <w:br/>
        <w:t>- Use one topic + one environment</w:t>
        <w:br/>
        <w:t>- Demonstrate observed truth baseline + sustained divergence + evidence drill-down</w:t>
      </w:r>
    </w:p>
    <w:p>
      <w:pPr>
        <w:pStyle w:val="Heading2"/>
      </w:pPr>
      <w:r>
        <w:t>9. Proof Session Success Criteria</w:t>
      </w:r>
    </w:p>
    <w:p>
      <w:r>
        <w:t>A proof session is successful when we can demonstrate at least one of:</w:t>
        <w:br/>
        <w:t>- Structural variant changes over time</w:t>
        <w:br/>
        <w:t>- Cadence degradation pattern</w:t>
        <w:br/>
        <w:t>- Domain expansion (new enum values) or frequency shift</w:t>
        <w:br/>
        <w:t>- Divergence clustered by identity slice</w:t>
        <w:br/>
        <w:t>- Expected divergence confirmation for a planned change window</w:t>
      </w:r>
    </w:p>
    <w:p>
      <w:pPr>
        <w:pStyle w:val="Heading2"/>
      </w:pPr>
      <w:r>
        <w:t>10. Notes for Development (Claude)</w:t>
      </w:r>
    </w:p>
    <w:p>
      <w:r>
        <w:t>This positioning assumes v1 stays within CAV Level 1/1.1.</w:t>
        <w:br/>
        <w:t>Development must avoid implementing:</w:t>
        <w:br/>
        <w:t>- intent artifact storage</w:t>
        <w:br/>
        <w:t>- formal delta math against declared intent</w:t>
        <w:br/>
        <w:t>- envelope DSL</w:t>
        <w:br/>
        <w:t>- convergence enforcement logic</w:t>
        <w:br/>
        <w:br/>
        <w:t>UI should evolve toward an instrument-style Topic Detail view with progressive disclosure.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