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480" w:after="240"/>
        <w:rPr/>
      </w:pPr>
      <w:r>
        <w:rPr/>
        <w:t>Отчёт по лабораторной работе № 5</w:t>
      </w:r>
    </w:p>
    <w:p>
      <w:pPr>
        <w:pStyle w:val="2first"/>
        <w:bidi w:val="0"/>
        <w:jc w:val="left"/>
        <w:rPr/>
      </w:pPr>
      <w:r>
        <w:rPr/>
        <w:t>Проектирование прототипа приложения</w:t>
      </w:r>
    </w:p>
    <w:p>
      <w:pPr>
        <w:pStyle w:val="BodyText"/>
        <w:bidi w:val="0"/>
        <w:rPr/>
      </w:pPr>
      <w:r>
        <w:rPr/>
        <w:t xml:space="preserve">Проект: </w:t>
      </w:r>
      <w:r>
        <w:rPr>
          <w:b/>
        </w:rPr>
        <w:t>МаркетШоп.by</w:t>
      </w:r>
      <w:r>
        <w:rPr/>
        <w:t xml:space="preserve"> — сервис автоматической генерации описаний товаров в рекомендательной системе маркетплейса одежды и обуви (Республика Беларусь)</w:t>
      </w:r>
    </w:p>
    <w:p>
      <w:pPr>
        <w:pStyle w:val="BodyText"/>
        <w:bidi w:val="0"/>
        <w:rPr/>
      </w:pPr>
      <w:r>
        <w:rPr/>
        <w:t>Выполнили: студенты 4 курса, группа 10 — Харченко Анастасия, Шепко Варвара, Степук Анастасия</w:t>
      </w:r>
    </w:p>
    <w:p>
      <w:pPr>
        <w:pStyle w:val="BodyText"/>
        <w:bidi w:val="0"/>
        <w:rPr/>
      </w:pPr>
      <w:r>
        <w:rPr/>
        <w:t>Проверила: старший преподаватель кафедры ТП Давидовская М. И.</w:t>
      </w:r>
    </w:p>
    <w:p>
      <w:pPr>
        <w:pStyle w:val="BodyText"/>
        <w:bidi w:val="0"/>
        <w:rPr/>
      </w:pPr>
      <w:r>
        <w:rPr/>
        <w:t>Минск, 2026</w:t>
      </w:r>
    </w:p>
    <w:p>
      <w:pPr>
        <w:pStyle w:val="Style14"/>
        <w:bidi w:val="0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Введение</w:t>
      </w:r>
    </w:p>
    <w:p>
      <w:pPr>
        <w:pStyle w:val="BodyText"/>
        <w:bidi w:val="0"/>
        <w:rPr/>
      </w:pPr>
      <w:r>
        <w:rPr/>
        <w:t>Работа продолжает проект МаркетШоп.by из ЛР № 1 — ЛР № 4. В ЛР № 2 была разработана информационная архитектура и предложена цветовая концепция, в ЛР № 3 — требования и модели предметной области, в ЛР № 4 — физическая модель базы данных, REST API и MCP-сервер. В настоящей работе исследован визуальный язык продукта, разработаны адаптивные макеты и руководства по стилям для веб- и мобильного приложения.</w:t>
      </w:r>
    </w:p>
    <w:p>
      <w:pPr>
        <w:pStyle w:val="BodyText"/>
        <w:bidi w:val="0"/>
        <w:rPr/>
      </w:pPr>
      <w:r>
        <w:rPr/>
        <w:t xml:space="preserve">Ключевой результат работы: </w:t>
      </w:r>
      <w:r>
        <w:rPr>
          <w:b/>
        </w:rPr>
        <w:t>цветовая концепция, предложенная в ЛР № 2 «на глаз», проверена эмпирически и по итогам теста заменена.</w:t>
      </w:r>
      <w:r>
        <w:rPr/>
        <w:t xml:space="preserve"> Это соответствует принятой в проекте практике — в ЛР № 2 по результатам опроса были переработаны пять разделов ЛР № 1.</w:t>
      </w:r>
    </w:p>
    <w:p>
      <w:pPr>
        <w:pStyle w:val="BodyText"/>
        <w:bidi w:val="0"/>
        <w:rPr/>
      </w:pPr>
      <w:r>
        <w:rPr/>
        <w:t xml:space="preserve">Все артефакты собираются скриптами из трёх источников — </w:t>
      </w:r>
      <w:r>
        <w:rPr>
          <w:rStyle w:val="Style12"/>
        </w:rPr>
        <w:t>design/tokens.json</w:t>
      </w:r>
      <w:r>
        <w:rPr/>
        <w:t xml:space="preserve">, </w:t>
      </w:r>
      <w:r>
        <w:rPr>
          <w:rStyle w:val="Style12"/>
        </w:rPr>
        <w:t>research/adjectives.csv</w:t>
      </w:r>
      <w:r>
        <w:rPr/>
        <w:t xml:space="preserve"> и </w:t>
      </w:r>
      <w:r>
        <w:rPr>
          <w:rStyle w:val="Style12"/>
        </w:rPr>
        <w:t>research/raw.csv</w:t>
      </w:r>
      <w:r>
        <w:rPr/>
        <w:t>. Макеты, руководства по стилям, отчёт о контрасте и настоящий отчёт не набирались вручную, поэтому не могут разойтись между собой.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7463"/>
        <w:gridCol w:w="4434"/>
      </w:tblGrid>
      <w:tr>
        <w:trPr/>
        <w:tc>
          <w:tcPr>
            <w:tcW w:w="3475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Задание</w:t>
            </w:r>
          </w:p>
        </w:tc>
        <w:tc>
          <w:tcPr>
            <w:tcW w:w="746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Результат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Файлы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1. Исследование визуального языка</w:t>
            </w:r>
          </w:p>
        </w:tc>
        <w:tc>
          <w:tcPr>
            <w:tcW w:w="746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15 пар прилагательных с целевым профилем, 3 цветовых варианта, тест с 11 респондентами, 4 диаграммы-профиля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research/</w:t>
            </w:r>
            <w:r>
              <w:rPr/>
              <w:t xml:space="preserve">, </w:t>
            </w:r>
            <w:r>
              <w:rPr>
                <w:rStyle w:val="Style12"/>
              </w:rPr>
              <w:t>mockups/visual-language.html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2. Адаптивные макеты и прототип</w:t>
            </w:r>
          </w:p>
        </w:tc>
        <w:tc>
          <w:tcPr>
            <w:tcW w:w="746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 разрешений веб-страницы, 5 устройств, отзывчивая разметка с медиазапросами, ТЗ на интерактивный прототип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mockups/</w:t>
            </w:r>
            <w:r>
              <w:rPr/>
              <w:t xml:space="preserve">, </w:t>
            </w:r>
            <w:r>
              <w:rPr>
                <w:rStyle w:val="Style12"/>
              </w:rPr>
              <w:t>prototype/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 Руководства по стилям</w:t>
            </w:r>
          </w:p>
        </w:tc>
        <w:tc>
          <w:tcPr>
            <w:tcW w:w="746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 руководства, 33 раздела, 21 компонент, проверка контраста по WCAG 2.1</w:t>
            </w:r>
          </w:p>
        </w:tc>
        <w:tc>
          <w:tcPr>
            <w:tcW w:w="443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style-guide/</w:t>
            </w:r>
            <w:r>
              <w:rPr/>
              <w:t xml:space="preserve">, </w:t>
            </w:r>
            <w:r>
              <w:rPr>
                <w:rStyle w:val="Style12"/>
              </w:rPr>
              <w:t>design/</w:t>
            </w:r>
          </w:p>
        </w:tc>
      </w:tr>
    </w:tbl>
    <w:p>
      <w:pPr>
        <w:pStyle w:val="Heading2"/>
        <w:bidi w:val="0"/>
        <w:jc w:val="left"/>
        <w:rPr/>
      </w:pPr>
      <w:r>
        <w:rPr/>
        <w:t>1 Исследование визуального языка</w:t>
      </w:r>
    </w:p>
    <w:p>
      <w:pPr>
        <w:pStyle w:val="Heading3"/>
        <w:bidi w:val="0"/>
        <w:jc w:val="left"/>
        <w:rPr/>
      </w:pPr>
      <w:r>
        <w:rPr/>
        <w:t>1.1 Анализ шаблонов и решений</w:t>
      </w:r>
    </w:p>
    <w:p>
      <w:pPr>
        <w:pStyle w:val="BodyText"/>
        <w:bidi w:val="0"/>
        <w:rPr/>
      </w:pPr>
      <w:r>
        <w:rPr/>
        <w:t>Изучены примеры товарных страниц на Dribbble и CodePen, обзор паттернов интерфейса UXPin и Usability.gov, а также исследование навигационных категорий в электронной коммерции Smashing Magazine. Отобранные решения сопоставлены с информационной архитектурой ЛР № 2.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8"/>
        <w:gridCol w:w="2890"/>
        <w:gridCol w:w="2251"/>
        <w:gridCol w:w="6593"/>
      </w:tblGrid>
      <w:tr>
        <w:trPr/>
        <w:tc>
          <w:tcPr>
            <w:tcW w:w="3638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Паттерн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Источник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Решение</w:t>
            </w:r>
          </w:p>
        </w:tc>
        <w:tc>
          <w:tcPr>
            <w:tcW w:w="659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363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Закреплённая панель покупки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Dribbble, product page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принят частично</w:t>
            </w:r>
          </w:p>
        </w:tc>
        <w:tc>
          <w:tcPr>
            <w:tcW w:w="65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AC-02.1 требует описание выше кнопки «В корзину», поэтому кнопка размещена в потоке, а не закреплена</w:t>
            </w:r>
          </w:p>
        </w:tc>
      </w:tr>
      <w:tr>
        <w:trPr/>
        <w:tc>
          <w:tcPr>
            <w:tcW w:w="363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Фасетные фильтры в боковой панели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Smashing Magazine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принят</w:t>
            </w:r>
          </w:p>
        </w:tc>
        <w:tc>
          <w:tcPr>
            <w:tcW w:w="65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соответствует системе поиска ЛР № 2, п. 2.4</w:t>
            </w:r>
          </w:p>
        </w:tc>
      </w:tr>
      <w:tr>
        <w:trPr/>
        <w:tc>
          <w:tcPr>
            <w:tcW w:w="363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Мегаменю категорий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Dribbble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отклонён</w:t>
            </w:r>
          </w:p>
        </w:tc>
        <w:tc>
          <w:tcPr>
            <w:tcW w:w="65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ЛР № 2 ограничивает число навигационных связей тремя</w:t>
            </w:r>
          </w:p>
        </w:tc>
      </w:tr>
      <w:tr>
        <w:trPr/>
        <w:tc>
          <w:tcPr>
            <w:tcW w:w="363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Карточка с кратким описанием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CodePen, product cart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принят</w:t>
            </w:r>
          </w:p>
        </w:tc>
        <w:tc>
          <w:tcPr>
            <w:tcW w:w="65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реализует AC-01.2: summary не более 90 символов</w:t>
            </w:r>
          </w:p>
        </w:tc>
      </w:tr>
      <w:tr>
        <w:trPr/>
        <w:tc>
          <w:tcPr>
            <w:tcW w:w="363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Бейдж происхождения товара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Usability.gov, UI patterns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принят</w:t>
            </w:r>
          </w:p>
        </w:tc>
        <w:tc>
          <w:tcPr>
            <w:tcW w:w="65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закрывает US-13 «Сделано в Беларуси»</w:t>
            </w:r>
          </w:p>
        </w:tc>
      </w:tr>
      <w:tr>
        <w:trPr/>
        <w:tc>
          <w:tcPr>
            <w:tcW w:w="363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Аккордеон характеристик</w:t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UXPin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отклонён</w:t>
            </w:r>
          </w:p>
        </w:tc>
        <w:tc>
          <w:tcPr>
            <w:tcW w:w="65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AC-02.2 требует все четыре подблока описания видимыми без раскрытия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1.2 Методика тестирования визуального дизайна</w:t>
      </w:r>
    </w:p>
    <w:p>
      <w:pPr>
        <w:pStyle w:val="BodyText"/>
        <w:bidi w:val="0"/>
        <w:rPr/>
      </w:pPr>
      <w:r>
        <w:rPr/>
        <w:t xml:space="preserve">Рассмотрены три метода оценки визуального дизайна: пятисекундный тест, метод предпочтительного выбора и семантический дифференциал. Основным выбран </w:t>
      </w:r>
      <w:r>
        <w:rPr>
          <w:b/>
        </w:rPr>
        <w:t>семантический дифференциал Ч. Осгуда</w:t>
      </w:r>
      <w:r>
        <w:rPr/>
        <w:t>: методические указания требуют шкал по парам прилагательных и построения диаграммы-профиля, а этот метод даёт количественную оценку соответствия дизайна заданным эмоциям, а не вкусовое предпочтение.</w:t>
      </w:r>
    </w:p>
    <w:p>
      <w:pPr>
        <w:pStyle w:val="BodyText"/>
        <w:bidi w:val="0"/>
        <w:rPr/>
      </w:pPr>
      <w:r>
        <w:rPr/>
        <w:t>Дополнительно в конце анкеты задан контрольный вопрос методом предпочтительного выбора. Он не влияет на расчёт, но позволяет проверить, совпадает ли прямое предпочтение с результатом по шкалам.</w:t>
      </w:r>
    </w:p>
    <w:p>
      <w:pPr>
        <w:pStyle w:val="Heading3"/>
        <w:bidi w:val="0"/>
        <w:jc w:val="left"/>
        <w:rPr/>
      </w:pPr>
      <w:r>
        <w:rPr/>
        <w:t>1.3 Пары прилагательных и целевой профиль</w:t>
      </w:r>
    </w:p>
    <w:p>
      <w:pPr>
        <w:pStyle w:val="BodyText"/>
        <w:bidi w:val="0"/>
        <w:rPr/>
      </w:pPr>
      <w:r>
        <w:rPr/>
        <w:t>Семь пар из методических указаний сохранены и дополнены до пятнадцати. Каждая пара обоснована данными ЛР № 1 — ЛР № 4; оценивается по шкале 1–5, где 5 соответствует левому полюсу.</w:t>
      </w:r>
    </w:p>
    <w:p>
      <w:pPr>
        <w:pStyle w:val="BodyText"/>
        <w:bidi w:val="0"/>
        <w:rPr/>
      </w:pPr>
      <w:r>
        <w:rPr/>
        <w:t>Для пяти пар целевое значение намеренно не крайнее. Парам «Честный — Лживый» и «Надёжный — Ненадёжный» присвоен двойной вес: они закрывают барьеры, подтверждённые опросом ЛР № 1 (несоответствие описания реальности — 60,9 %, сложности с возвратом — 39,1 %).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3"/>
        <w:gridCol w:w="4041"/>
        <w:gridCol w:w="1473"/>
        <w:gridCol w:w="1258"/>
        <w:gridCol w:w="7327"/>
      </w:tblGrid>
      <w:tr>
        <w:trPr/>
        <w:tc>
          <w:tcPr>
            <w:tcW w:w="127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№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Пара (5 — 1)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Цель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Вес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Обоснование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P01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Добрый — Злой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тон интерфейса: польза простым языком, без маркетингового давления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P02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Современный — Классический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образ технологичной площадки, но ядро ЦА включает 35–55 лет (32,6%) — крайняя новизна отталкивает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P03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Молодой — Старый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ЦА 18–55: 25–34 — 39,1%, 18–24 — 28,3%, 35–44 — 21,7%, 45+ — 10,9%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P04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Безопасный — Опасный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оплата картой онлайн 69,6%; недоверие к продавцу — барьер 19,6%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P05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Красивый — Некрасивый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нейтральный фон и белые карточки — ради акцента на фотографиях товара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P06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Интересный — Скучный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монопольный интерфейс, сессии 15–20 мин: не должен отвлекать от выбора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P07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Полезный — Бесполезный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средняя важность достоверного описания 4,33/5, оценок «1» нет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P08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Честный — Лживый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×2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60,9% сталкивались с несоответствием описания реальности; запрет неподтверждённых заявлений о качестве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P09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Надёжный — Ненадёжный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×2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сложности с возвратом/обменом — барьер №1 (39,1%)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P10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Простой — Сложный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Ольга Петровна, 48: низкий/средний уровень владения приложениями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P11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Понятный — Запутанный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термины генерации (NLP, LLM, «ИИ-описание») отсутствуют в покупательском контуре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P12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Спокойный — Раздражающий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58,7% заходят вечером 19:00–23:00; требуется тёмная тема и низкая визуальная агрессия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P13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Профессиональный — Любительский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привлечь малые белорусские бренды: их карточки должны выглядеть солидно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P14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Дорогой — Дешёвый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«качественная одежда по адекватной цене»: не люкс и не дискаунтер</w:t>
            </w:r>
          </w:p>
        </w:tc>
      </w:tr>
      <w:tr>
        <w:trPr/>
        <w:tc>
          <w:tcPr>
            <w:tcW w:w="12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P15</w:t>
            </w:r>
          </w:p>
        </w:tc>
        <w:tc>
          <w:tcPr>
            <w:tcW w:w="40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Технологичный — Устаревший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732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бизнес-задача: образ технологичной площадки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1.4 Цветовые схемы</w:t>
      </w:r>
    </w:p>
    <w:p>
      <w:pPr>
        <w:pStyle w:val="BodyText"/>
        <w:bidi w:val="0"/>
        <w:rPr/>
      </w:pPr>
      <w:r>
        <w:rPr/>
        <w:t>Подготовлены три варианта. Схемы B и C сгенерированы в paletton.com, оттенки и тона проверены в colorhexa.com. Набор имён токенов во всех вариантах идентичен и различаются только значения — это и обеспечивает требование методических указаний о том, что макеты должны отличаться только цветовой гаммой.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91"/>
        <w:gridCol w:w="4067"/>
        <w:gridCol w:w="8014"/>
      </w:tblGrid>
      <w:tr>
        <w:trPr/>
        <w:tc>
          <w:tcPr>
            <w:tcW w:w="3291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Вариант</w:t>
            </w:r>
          </w:p>
        </w:tc>
        <w:tc>
          <w:tcPr>
            <w:tcW w:w="4067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Происхождение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Замысел</w:t>
            </w:r>
          </w:p>
        </w:tc>
      </w:tr>
      <w:tr>
        <w:trPr/>
        <w:tc>
          <w:tcPr>
            <w:tcW w:w="329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A «Доверие»</w:t>
            </w:r>
          </w:p>
        </w:tc>
        <w:tc>
          <w:tcPr>
            <w:tcW w:w="406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ЛР № 2, п. 6 — контрольный вариант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тёмно-синий и тёплый оранжевый; концепция, принятая ранее без проверки</w:t>
            </w:r>
          </w:p>
        </w:tc>
      </w:tr>
      <w:tr>
        <w:trPr/>
        <w:tc>
          <w:tcPr>
            <w:tcW w:w="329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B «Технологичный»</w:t>
            </w:r>
          </w:p>
        </w:tc>
        <w:tc>
          <w:tcPr>
            <w:tcW w:w="406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paletton.com, триада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графит, индиго и бирюзовый; проверяет бизнес-задачу ЛР № 1 п. 13.4 — образ технологичной площадки</w:t>
            </w:r>
          </w:p>
        </w:tc>
      </w:tr>
      <w:tr>
        <w:trPr/>
        <w:tc>
          <w:tcPr>
            <w:tcW w:w="329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C «Тёплый локальный»</w:t>
            </w:r>
          </w:p>
        </w:tc>
        <w:tc>
          <w:tcPr>
            <w:tcW w:w="406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paletton.com, аналоговая схема</w:t>
            </w:r>
          </w:p>
        </w:tc>
        <w:tc>
          <w:tcPr>
            <w:tcW w:w="80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терракота и олива на кремовом фоне; отсылка к идентичности малых белорусских брендов</w:t>
            </w:r>
          </w:p>
        </w:tc>
      </w:tr>
    </w:tbl>
    <w:p>
      <w:pPr>
        <w:pStyle w:val="Heading4"/>
        <w:bidi w:val="0"/>
        <w:rPr/>
      </w:pPr>
      <w:r>
        <w:rPr/>
        <w:t>Проверка контраста</w:t>
      </w:r>
    </w:p>
    <w:p>
      <w:pPr>
        <w:pStyle w:val="BodyText"/>
        <w:bidi w:val="0"/>
        <w:rPr/>
      </w:pPr>
      <w:r>
        <w:rPr/>
        <w:t xml:space="preserve">Все сочетания «текст — фон» проверены по WCAG 2.1 скриптом </w:t>
      </w:r>
      <w:r>
        <w:rPr>
          <w:rStyle w:val="Style12"/>
        </w:rPr>
        <w:t>tools/check_contrast.py</w:t>
      </w:r>
      <w:r>
        <w:rPr/>
        <w:t xml:space="preserve">: </w:t>
      </w:r>
      <w:r>
        <w:rPr>
          <w:b/>
        </w:rPr>
        <w:t>126 пар, из них обязательных 120; не проходит — 0; уровню AAA соответствует 42</w:t>
      </w:r>
      <w:r>
        <w:rPr/>
        <w:t>.</w:t>
      </w:r>
    </w:p>
    <w:p>
      <w:pPr>
        <w:pStyle w:val="BodyText"/>
        <w:bidi w:val="0"/>
        <w:rPr/>
      </w:pPr>
      <w:r>
        <w:rPr/>
        <w:t xml:space="preserve">При проверке обнаружен дефект исходной палитры ЛР № 2: акцентный </w:t>
      </w:r>
      <w:r>
        <w:rPr>
          <w:rStyle w:val="Style12"/>
        </w:rPr>
        <w:t>#E07A3F</w:t>
      </w:r>
      <w:r>
        <w:rPr/>
        <w:t xml:space="preserve"> с белым текстом даёт контраст </w:t>
      </w:r>
      <w:r>
        <w:rPr>
          <w:b/>
        </w:rPr>
        <w:t>2,99 : 1</w:t>
      </w:r>
      <w:r>
        <w:rPr/>
        <w:t xml:space="preserve"> и не удовлетворяет уровню AA, требующему 4,5 : 1. Оттенок </w:t>
      </w:r>
      <w:r>
        <w:rPr>
          <w:rStyle w:val="Style12"/>
        </w:rPr>
        <w:t>#C96930</w:t>
      </w:r>
      <w:r>
        <w:rPr/>
        <w:t>, предложенный как состояние наведения, также не проходит — 3,77 : 1. Для заливки кнопок введён затемнённый тон, а исходный оттенок сохранён как декоративный, где поверх него нет белого текста. Всего скорректировано десять значений в трёх палитрах, в том числе границы полей ввода, не удовлетворявшие требованию WCAG 1.4.11 (3 : 1).</w:t>
      </w:r>
    </w:p>
    <w:p>
      <w:pPr>
        <w:pStyle w:val="Heading3"/>
        <w:bidi w:val="0"/>
        <w:jc w:val="left"/>
        <w:rPr/>
      </w:pPr>
      <w:r>
        <w:rPr/>
        <w:t>1.5 Дизайн-макеты вариантов</w:t>
      </w:r>
    </w:p>
    <w:p>
      <w:pPr>
        <w:pStyle w:val="BodyText"/>
        <w:bidi w:val="0"/>
        <w:rPr/>
      </w:pPr>
      <w:r>
        <w:rPr/>
        <w:t xml:space="preserve">Для исследования выбраны два экрана: </w:t>
      </w:r>
      <w:r>
        <w:rPr>
          <w:b/>
        </w:rPr>
        <w:t>главная страница веб-приложения</w:t>
      </w:r>
      <w:r>
        <w:rPr/>
        <w:t xml:space="preserve"> с лентой «Специально для вас» (1440 px) и </w:t>
      </w:r>
      <w:r>
        <w:rPr>
          <w:b/>
        </w:rPr>
        <w:t>карточка товара мобильного приложения</w:t>
      </w:r>
      <w:r>
        <w:rPr/>
        <w:t xml:space="preserve"> (375 px). Выбор обоснован данными опроса ЛР № 1: персонализированные рекомендации положительно оценили 73,9 % респондентов, а 82,6 % совершают покупки со смартфона. Оба экрана зафиксированы макетами низкой точности ещё в ЛР № 2.</w:t>
      </w:r>
    </w:p>
    <w:p>
      <w:pPr>
        <w:pStyle w:val="BodyText"/>
        <w:bidi w:val="0"/>
        <w:rPr/>
      </w:pPr>
      <w:r>
        <w:rPr/>
        <w:t>Макеты собраны из одной разметки на CSS-переменных: переключение набора значений даёт три варианта, у которых гарантированно совпадают сетка, типографика, фотографии и тексты. Такой способ исключает типичную ошибку исследования, когда варианты непреднамеренно различаются не только цветом и эксперимент начинает измерять две переменные сразу.</w:t>
      </w:r>
    </w:p>
    <w:p>
      <w:pPr>
        <w:pStyle w:val="BodyText"/>
        <w:bidi w:val="0"/>
        <w:rPr/>
      </w:pPr>
      <w:r>
        <w:rPr/>
        <w:t>Содержание макетов достоверно: восемь карточек товаров с реальными фотографиями белорусских брендов, краткие описания в пределах ограничения в 90 символов (</w:t>
      </w:r>
      <w:r>
        <w:rPr>
          <w:rStyle w:val="Style12"/>
        </w:rPr>
        <w:t>CHECK</w:t>
      </w:r>
      <w:r>
        <w:rPr/>
        <w:t>-ограничение базы данных из ЛР № 4), карточка товара с четырьмя обязательными подблоками описания по AC-02.2 и блоком «Ассистент по размеру». Шрифты Inter и Manrope подключены локально, внешних ссылок в файле нет — вид макета не зависит от наличия сети во время теста.</w:t>
      </w:r>
    </w:p>
    <w:p>
      <w:pPr>
        <w:pStyle w:val="BodyText"/>
        <w:bidi w:val="0"/>
        <w:rPr/>
      </w:pPr>
      <w:r>
        <w:rPr/>
        <w:t>Перед началом сбора ответов состав материалов зафиксирован контрольными суммами (</w:t>
      </w:r>
      <w:r>
        <w:rPr>
          <w:rStyle w:val="Style12"/>
        </w:rPr>
        <w:t>research/FREEZE.md</w:t>
      </w:r>
      <w:r>
        <w:rPr/>
        <w:t>), что подтверждает: все респонденты оценивали одну и ту же версию.</w:t>
      </w:r>
    </w:p>
    <w:p>
      <w:pPr>
        <w:pStyle w:val="Heading3"/>
        <w:bidi w:val="0"/>
        <w:jc w:val="left"/>
        <w:rPr/>
      </w:pPr>
      <w:r>
        <w:rPr/>
        <w:t>1.6 Организация и проведение теста</w:t>
      </w:r>
    </w:p>
    <w:p>
      <w:pPr>
        <w:pStyle w:val="BodyText"/>
        <w:bidi w:val="0"/>
        <w:rPr/>
      </w:pPr>
      <w:r>
        <w:rPr/>
        <w:t xml:space="preserve">В тестировании приняли участие </w:t>
      </w:r>
      <w:r>
        <w:rPr>
          <w:b/>
        </w:rPr>
        <w:t>11 респондентов</w:t>
      </w:r>
      <w:r>
        <w:rPr/>
        <w:t>. Состав выборки соответствует группам пользователей, выделенным в ЛР № 1.</w:t>
      </w:r>
    </w:p>
    <w:tbl>
      <w:tblPr>
        <w:tblW w:w="103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84"/>
        <w:gridCol w:w="2451"/>
        <w:gridCol w:w="2457"/>
      </w:tblGrid>
      <w:tr>
        <w:trPr/>
        <w:tc>
          <w:tcPr>
            <w:tcW w:w="5484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Группа пользователей из ЛР № 1</w:t>
            </w:r>
          </w:p>
        </w:tc>
        <w:tc>
          <w:tcPr>
            <w:tcW w:w="2451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Требовалось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Фактически</w:t>
            </w:r>
          </w:p>
        </w:tc>
      </w:tr>
      <w:tr>
        <w:trPr/>
        <w:tc>
          <w:tcPr>
            <w:tcW w:w="548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«Осознанные покупательницы» 25–34</w:t>
            </w:r>
          </w:p>
        </w:tc>
        <w:tc>
          <w:tcPr>
            <w:tcW w:w="24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</w:t>
            </w:r>
          </w:p>
        </w:tc>
      </w:tr>
      <w:tr>
        <w:trPr/>
        <w:tc>
          <w:tcPr>
            <w:tcW w:w="548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«Новички» 35–55</w:t>
            </w:r>
          </w:p>
        </w:tc>
        <w:tc>
          <w:tcPr>
            <w:tcW w:w="24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548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«Быстрые покупатели» 18–29</w:t>
            </w:r>
          </w:p>
        </w:tc>
        <w:tc>
          <w:tcPr>
            <w:tcW w:w="24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548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Продавцы</w:t>
            </w:r>
          </w:p>
        </w:tc>
        <w:tc>
          <w:tcPr>
            <w:tcW w:w="245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245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BodyText"/>
        <w:bidi w:val="0"/>
        <w:rPr/>
      </w:pPr>
      <w:r>
        <w:rPr/>
        <w:t>Распределение по основному устройству: смартфон — 8, компьютер — 2, планшет — 1.</w:t>
      </w:r>
    </w:p>
    <w:p>
      <w:pPr>
        <w:pStyle w:val="BodyText"/>
        <w:bidi w:val="0"/>
        <w:rPr/>
      </w:pPr>
      <w:r>
        <w:rPr/>
        <w:t xml:space="preserve">Анкета реализована собственным сервером </w:t>
      </w:r>
      <w:r>
        <w:rPr>
          <w:rStyle w:val="Style12"/>
        </w:rPr>
        <w:t>tools/serve_test.py</w:t>
      </w:r>
      <w:r>
        <w:rPr/>
        <w:t xml:space="preserve">: он показывает макеты, задаёт вопросы и записывает ответы непосредственно в </w:t>
      </w:r>
      <w:r>
        <w:rPr>
          <w:rStyle w:val="Style12"/>
        </w:rPr>
        <w:t>research/raw.csv</w:t>
      </w:r>
      <w:r>
        <w:rPr/>
        <w:t>. Отказ от внешнего сервиса форм исключил рассогласование имён столбцов при выгрузке и позволил назначать порядок показа автоматически.</w:t>
      </w:r>
    </w:p>
    <w:p>
      <w:pPr>
        <w:pStyle w:val="BodyText"/>
        <w:bidi w:val="0"/>
        <w:rPr/>
      </w:pPr>
      <w:r>
        <w:rPr/>
        <w:t xml:space="preserve">Соблюдены условия корректности измерения: </w:t>
      </w:r>
      <w:r>
        <w:rPr>
          <w:b/>
        </w:rPr>
        <w:t>порядок предъявления вариантов ротировался между респондентами</w:t>
      </w:r>
      <w:r>
        <w:rPr/>
        <w:t xml:space="preserve"> для подавления эффекта первичности; переход к оценке блокировался на 15 секунд, чтобы респондент действительно рассмотрел макет; возврат к предыдущему макету не допускался; все 15 шкал были обязательными.</w:t>
      </w:r>
    </w:p>
    <w:p>
      <w:pPr>
        <w:pStyle w:val="Heading3"/>
        <w:bidi w:val="0"/>
        <w:jc w:val="left"/>
        <w:rPr/>
      </w:pPr>
      <w:r>
        <w:rPr/>
        <w:t>1.7 Обработка результатов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41"/>
        <w:gridCol w:w="1473"/>
        <w:gridCol w:w="1258"/>
        <w:gridCol w:w="1902"/>
        <w:gridCol w:w="1902"/>
        <w:gridCol w:w="1902"/>
        <w:gridCol w:w="2294"/>
      </w:tblGrid>
      <w:tr>
        <w:trPr/>
        <w:tc>
          <w:tcPr>
            <w:tcW w:w="4641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Пара (5 — 1)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Цель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Вес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A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B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C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Ближе к цели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Добрый — Злой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3.82 ± 0.75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3.55 ± 1.13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4.55 ± 0.69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Современный — Классический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3.64 ± 1.03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4.09 ± 1.14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3.82 ± 0.98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Молодой — Старый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4.00 ± 1.00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4.27 ± 0.79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3.73 ± 0.90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Безопасный — Опасный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4.00 ± 0.63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4.00 ± 0.77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4.55 ± 0.69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Красивый — Некрасивый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4.09 ± 0.94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3.91 ± 0.83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4.27 ± 0.79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Интересный — Скучный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4.00 ± 0.63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3.18 ± 0.87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3.55 ± 1.04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A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Полезный — Бесполезный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3.73 ± 0.79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4.27 ± 0.79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3.82 ± 0.75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Честный — Лживый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×2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3.91 ± 0.94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4.27 ± 0.65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4.09 ± 0.70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Надёжный — Ненадёжный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×2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3.82 ± 0.87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4.36 ± 0.67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4.09 ± 0.83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Простой — Сложный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4.00 ± 0.77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3.64 ± 1.03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3.82 ± 0.75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A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Понятный — Запутанный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3.64 ± 0.92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4.00 ± 1.10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4.27 ± 0.47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Спокойный — Раздражающий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3.91 ± 0.70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4.00 ± 0.63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4.82 ± 0.40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C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Профессиональный — Любительский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3.55 ± 0.82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4.36 ± 0.81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3.82 ± 1.17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B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Дорогой — Дешёвый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3.5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3.73 ± 0.90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3.27 ± 0.65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3.82 ± 0.87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A</w:t>
            </w:r>
          </w:p>
        </w:tc>
      </w:tr>
      <w:tr>
        <w:trPr/>
        <w:tc>
          <w:tcPr>
            <w:tcW w:w="464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Технологичный — Устаревший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4.0</w:t>
            </w:r>
          </w:p>
        </w:tc>
        <w:tc>
          <w:tcPr>
            <w:tcW w:w="125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3.36 ± 0.92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4.36 ± 0.67</w:t>
            </w:r>
          </w:p>
        </w:tc>
        <w:tc>
          <w:tcPr>
            <w:tcW w:w="19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3.36 ± 0.92</w:t>
            </w:r>
          </w:p>
        </w:tc>
        <w:tc>
          <w:tcPr>
            <w:tcW w:w="229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B</w:t>
            </w:r>
          </w:p>
        </w:tc>
      </w:tr>
    </w:tbl>
    <w:p>
      <w:pPr>
        <w:pStyle w:val="BodyText"/>
        <w:bidi w:val="0"/>
        <w:rPr/>
      </w:pPr>
      <w:r>
        <w:rPr/>
        <w:t>Формат ячейки — среднее ± стандартное отклонение.</w:t>
      </w:r>
    </w:p>
    <w:tbl>
      <w:tblPr>
        <w:tblW w:w="130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89"/>
        <w:gridCol w:w="3297"/>
        <w:gridCol w:w="3262"/>
        <w:gridCol w:w="1664"/>
      </w:tblGrid>
      <w:tr>
        <w:trPr/>
        <w:tc>
          <w:tcPr>
            <w:tcW w:w="4789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Вариант</w:t>
            </w:r>
          </w:p>
        </w:tc>
        <w:tc>
          <w:tcPr>
            <w:tcW w:w="3297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Сумма отклонений</w:t>
            </w:r>
          </w:p>
        </w:tc>
        <w:tc>
          <w:tcPr>
            <w:tcW w:w="3262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Взвешенная сумма</w:t>
            </w:r>
          </w:p>
        </w:tc>
        <w:tc>
          <w:tcPr>
            <w:tcW w:w="1664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Место</w:t>
            </w:r>
          </w:p>
        </w:tc>
      </w:tr>
      <w:tr>
        <w:trPr/>
        <w:tc>
          <w:tcPr>
            <w:tcW w:w="478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Вариант C «Тёплый локальный»</w:t>
            </w:r>
          </w:p>
        </w:tc>
        <w:tc>
          <w:tcPr>
            <w:tcW w:w="329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7.95</w:t>
            </w:r>
          </w:p>
        </w:tc>
        <w:tc>
          <w:tcPr>
            <w:tcW w:w="326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>
                <w:b/>
              </w:rPr>
            </w:pPr>
            <w:r>
              <w:rPr>
                <w:b/>
              </w:rPr>
              <w:t>9.77</w:t>
            </w:r>
          </w:p>
        </w:tc>
        <w:tc>
          <w:tcPr>
            <w:tcW w:w="166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78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Вариант B «Технологичный»</w:t>
            </w:r>
          </w:p>
        </w:tc>
        <w:tc>
          <w:tcPr>
            <w:tcW w:w="329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9.41</w:t>
            </w:r>
          </w:p>
        </w:tc>
        <w:tc>
          <w:tcPr>
            <w:tcW w:w="326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>
                <w:b/>
              </w:rPr>
            </w:pPr>
            <w:r>
              <w:rPr>
                <w:b/>
              </w:rPr>
              <w:t>10.77</w:t>
            </w:r>
          </w:p>
        </w:tc>
        <w:tc>
          <w:tcPr>
            <w:tcW w:w="166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W w:w="478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Вариант A «Доверие»</w:t>
            </w:r>
          </w:p>
        </w:tc>
        <w:tc>
          <w:tcPr>
            <w:tcW w:w="329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10.77</w:t>
            </w:r>
          </w:p>
        </w:tc>
        <w:tc>
          <w:tcPr>
            <w:tcW w:w="326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>
                <w:b/>
              </w:rPr>
            </w:pPr>
            <w:r>
              <w:rPr>
                <w:b/>
              </w:rPr>
              <w:t>13.05</w:t>
            </w:r>
          </w:p>
        </w:tc>
        <w:tc>
          <w:tcPr>
            <w:tcW w:w="166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</w:t>
            </w:r>
          </w:p>
        </w:tc>
      </w:tr>
    </w:tbl>
    <w:p>
      <w:pPr>
        <w:pStyle w:val="BodyText"/>
        <w:bidi w:val="0"/>
        <w:rPr/>
      </w:pPr>
      <w:r>
        <w:rPr/>
        <w:t>Диаграммы-профили приведены в приложении А; на них нанесён целевой профиль, заданный до теста.</w:t>
      </w:r>
    </w:p>
    <w:p>
      <w:pPr>
        <w:pStyle w:val="Heading4"/>
        <w:bidi w:val="0"/>
        <w:rPr/>
      </w:pPr>
      <w:r>
        <w:rPr/>
        <w:t>Содержательный разбор</w:t>
      </w:r>
    </w:p>
    <w:p>
      <w:pPr>
        <w:pStyle w:val="BodyText"/>
        <w:bidi w:val="0"/>
        <w:rPr/>
      </w:pPr>
      <w:r>
        <w:rPr/>
        <w:t>Вариант C выигрывает по шкалам «Спокойный» (4.82 — лучшая оценка в таблице при наименьшем разбросе 0.40), «Добрый» (4.55) и «Безопасный» (4.55). Это соответствует условиям использования из ЛР № 1: 58,7 % респондентов заходят в приложение вечером, когда визуальная агрессия воспринимается особенно остро.</w:t>
      </w:r>
    </w:p>
    <w:p>
      <w:pPr>
        <w:pStyle w:val="BodyText"/>
        <w:bidi w:val="0"/>
        <w:rPr/>
      </w:pPr>
      <w:r>
        <w:rPr/>
        <w:t>Вариант C уступает по шкалам «Технологичный» (3.36 при цели 4,0) и «Профессиональный» (3.82 при цели 4,5) — по ним лидирует вариант B. Таким образом, бизнес-задача ЛР № 1 п. 13.4 о технологичном образе площадки решается выбранным вариантом не полностью; компенсировать это следует средствами типографики и компоновки, а не цветом.</w:t>
      </w:r>
    </w:p>
    <w:p>
      <w:pPr>
        <w:pStyle w:val="BodyText"/>
        <w:bidi w:val="0"/>
        <w:rPr/>
      </w:pPr>
      <w:r>
        <w:rPr/>
        <w:t>Исходный вариант A, предложенный в ЛР № 2, занял последнее место (13.05). Он проиграл прежде всего по шкалам «Понятный» (3.64 при цели 5,0), «Полезный» (3.73) и «Надёжный» (3.82), то есть именно по тем характеристикам, которые закрывают ключевые барьеры онлайн-покупки, выявленные в ЛР № 1.</w:t>
      </w:r>
    </w:p>
    <w:p>
      <w:pPr>
        <w:pStyle w:val="Heading4"/>
        <w:bidi w:val="0"/>
        <w:rPr/>
      </w:pPr>
      <w:r>
        <w:rPr/>
        <w:t>Контрольный вопрос</w:t>
      </w:r>
    </w:p>
    <w:tbl>
      <w:tblPr>
        <w:tblW w:w="829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89"/>
        <w:gridCol w:w="1995"/>
        <w:gridCol w:w="1512"/>
      </w:tblGrid>
      <w:tr>
        <w:trPr/>
        <w:tc>
          <w:tcPr>
            <w:tcW w:w="4789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Вариант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Выбрали</w:t>
            </w:r>
          </w:p>
        </w:tc>
        <w:tc>
          <w:tcPr>
            <w:tcW w:w="1512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Доля</w:t>
            </w:r>
          </w:p>
        </w:tc>
      </w:tr>
      <w:tr>
        <w:trPr/>
        <w:tc>
          <w:tcPr>
            <w:tcW w:w="478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Вариант A «Доверие»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151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18 %</w:t>
            </w:r>
          </w:p>
        </w:tc>
      </w:tr>
      <w:tr>
        <w:trPr/>
        <w:tc>
          <w:tcPr>
            <w:tcW w:w="478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Вариант B «Технологичный»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</w:t>
            </w:r>
          </w:p>
        </w:tc>
        <w:tc>
          <w:tcPr>
            <w:tcW w:w="151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27 %</w:t>
            </w:r>
          </w:p>
        </w:tc>
      </w:tr>
      <w:tr>
        <w:trPr/>
        <w:tc>
          <w:tcPr>
            <w:tcW w:w="478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Вариант C «Тёплый локальный»</w:t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</w:t>
            </w:r>
          </w:p>
        </w:tc>
        <w:tc>
          <w:tcPr>
            <w:tcW w:w="151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55 %</w:t>
            </w:r>
          </w:p>
        </w:tc>
      </w:tr>
    </w:tbl>
    <w:p>
      <w:pPr>
        <w:pStyle w:val="BodyText"/>
        <w:bidi w:val="0"/>
        <w:rPr/>
      </w:pPr>
      <w:r>
        <w:rPr/>
        <w:t>Прямой выбор подтверждает результат по шкалам: вариант C предпочли 6 респондентов из 11.</w:t>
      </w:r>
    </w:p>
    <w:p>
      <w:pPr>
        <w:pStyle w:val="Heading4"/>
        <w:bidi w:val="0"/>
        <w:rPr/>
      </w:pPr>
      <w:r>
        <w:rPr/>
        <w:t>Проверка эффекта порядка</w:t>
      </w:r>
    </w:p>
    <w:p>
      <w:pPr>
        <w:pStyle w:val="BodyText"/>
        <w:bidi w:val="0"/>
        <w:rPr/>
      </w:pPr>
      <w:r>
        <w:rPr/>
        <w:t>Поскольку порядок показа ротировался, проверено, не объясняется ли результат позицией предъявления.</w:t>
      </w:r>
    </w:p>
    <w:tbl>
      <w:tblPr>
        <w:tblW w:w="583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96"/>
        <w:gridCol w:w="2942"/>
      </w:tblGrid>
      <w:tr>
        <w:trPr/>
        <w:tc>
          <w:tcPr>
            <w:tcW w:w="2896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Позиция показа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Средняя оценка</w:t>
            </w:r>
          </w:p>
        </w:tc>
      </w:tr>
      <w:tr>
        <w:trPr/>
        <w:tc>
          <w:tcPr>
            <w:tcW w:w="289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1-й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3.915</w:t>
            </w:r>
          </w:p>
        </w:tc>
      </w:tr>
      <w:tr>
        <w:trPr/>
        <w:tc>
          <w:tcPr>
            <w:tcW w:w="289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2-й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3.994</w:t>
            </w:r>
          </w:p>
        </w:tc>
      </w:tr>
      <w:tr>
        <w:trPr/>
        <w:tc>
          <w:tcPr>
            <w:tcW w:w="289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3-й</w:t>
            </w:r>
          </w:p>
        </w:tc>
        <w:tc>
          <w:tcPr>
            <w:tcW w:w="29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3.897</w:t>
            </w:r>
          </w:p>
        </w:tc>
      </w:tr>
    </w:tbl>
    <w:p>
      <w:pPr>
        <w:pStyle w:val="BodyText"/>
        <w:bidi w:val="0"/>
        <w:rPr/>
      </w:pPr>
      <w:r>
        <w:rPr/>
        <w:t>Разброс между позициями составляет 0.097 балла, то есть позиция на оценку практически не влияла. Дополнительно пересчитаны отклонения только по тем респондентам, которые видели соответствующий вариант не первым: Вариант A «Доверие» — 12.25, Вариант B «Технологичный» — 13.33, Вариант C «Тёплый локальный» — 9.25. Вариант C сохраняет первое место, следовательно результат устойчив.</w:t>
      </w:r>
    </w:p>
    <w:p>
      <w:pPr>
        <w:pStyle w:val="Heading2"/>
        <w:bidi w:val="0"/>
        <w:jc w:val="left"/>
        <w:rPr/>
      </w:pPr>
      <w:r>
        <w:rPr/>
        <w:t>2 Проектирование прототипа пользовательского интерфейса</w:t>
      </w:r>
    </w:p>
    <w:p>
      <w:pPr>
        <w:pStyle w:val="Heading3"/>
        <w:bidi w:val="0"/>
        <w:jc w:val="left"/>
        <w:rPr/>
      </w:pPr>
      <w:r>
        <w:rPr/>
        <w:t>2.1 Модульная сетка</w:t>
      </w:r>
    </w:p>
    <w:p>
      <w:pPr>
        <w:pStyle w:val="BodyText"/>
        <w:bidi w:val="0"/>
        <w:rPr/>
      </w:pPr>
      <w:r>
        <w:rPr/>
        <w:t xml:space="preserve">Для адаптации выбрана страница </w:t>
      </w:r>
      <w:r>
        <w:rPr>
          <w:b/>
        </w:rPr>
        <w:t>каталога с фильтрами</w:t>
      </w:r>
      <w:r>
        <w:rPr/>
        <w:t>: её структура (боковая панель фильтров и сетка карточек) перестраивается на каждом шаге, поэтому адаптация содержательна, а не сводится к изменению ширины.</w:t>
      </w:r>
    </w:p>
    <w:p>
      <w:pPr>
        <w:pStyle w:val="BodyText"/>
        <w:bidi w:val="0"/>
        <w:rPr/>
      </w:pPr>
      <w:r>
        <w:rPr/>
        <w:t>Ширина контейнера рассчитана по методике, приведённой в методических указаниях: контейнер = колонка × N + гаттер × (N − 1).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0"/>
        <w:gridCol w:w="1906"/>
        <w:gridCol w:w="2208"/>
        <w:gridCol w:w="1937"/>
        <w:gridCol w:w="1703"/>
        <w:gridCol w:w="1937"/>
        <w:gridCol w:w="1493"/>
        <w:gridCol w:w="2128"/>
      </w:tblGrid>
      <w:tr>
        <w:trPr/>
        <w:tc>
          <w:tcPr>
            <w:tcW w:w="2060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Диапазон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Артборд</w:t>
            </w:r>
          </w:p>
        </w:tc>
        <w:tc>
          <w:tcPr>
            <w:tcW w:w="2208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Контейнер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Колонок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Гаттер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Колонка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Поля</w:t>
            </w:r>
          </w:p>
        </w:tc>
        <w:tc>
          <w:tcPr>
            <w:tcW w:w="2128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Проверка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1440+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1440</w:t>
            </w:r>
          </w:p>
        </w:tc>
        <w:tc>
          <w:tcPr>
            <w:tcW w:w="220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1320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12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24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88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60</w:t>
            </w:r>
          </w:p>
        </w:tc>
        <w:tc>
          <w:tcPr>
            <w:tcW w:w="21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12 × 88 + 11 × 24 = 1320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992–1199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1024</w:t>
            </w:r>
          </w:p>
        </w:tc>
        <w:tc>
          <w:tcPr>
            <w:tcW w:w="220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984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12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24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60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20</w:t>
            </w:r>
          </w:p>
        </w:tc>
        <w:tc>
          <w:tcPr>
            <w:tcW w:w="21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12 × 60 + 11 × 24 = 984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768–991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768</w:t>
            </w:r>
          </w:p>
        </w:tc>
        <w:tc>
          <w:tcPr>
            <w:tcW w:w="220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720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8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24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69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24</w:t>
            </w:r>
          </w:p>
        </w:tc>
        <w:tc>
          <w:tcPr>
            <w:tcW w:w="21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8 × 69 + 7 × 24 = 720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576–767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600</w:t>
            </w:r>
          </w:p>
        </w:tc>
        <w:tc>
          <w:tcPr>
            <w:tcW w:w="220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552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8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16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55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24</w:t>
            </w:r>
          </w:p>
        </w:tc>
        <w:tc>
          <w:tcPr>
            <w:tcW w:w="21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8 × 55 + 7 × 16 = 552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400–575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414</w:t>
            </w:r>
          </w:p>
        </w:tc>
        <w:tc>
          <w:tcPr>
            <w:tcW w:w="220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stretch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16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83.5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16</w:t>
            </w:r>
          </w:p>
        </w:tc>
        <w:tc>
          <w:tcPr>
            <w:tcW w:w="21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резиновая сетка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320–399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360</w:t>
            </w:r>
          </w:p>
        </w:tc>
        <w:tc>
          <w:tcPr>
            <w:tcW w:w="220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stretch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16</w:t>
            </w:r>
          </w:p>
        </w:tc>
        <w:tc>
          <w:tcPr>
            <w:tcW w:w="1937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70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16</w:t>
            </w:r>
          </w:p>
        </w:tc>
        <w:tc>
          <w:tcPr>
            <w:tcW w:w="21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резиновая сетка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2.2 Адаптивные макеты веб-страницы</w:t>
      </w:r>
    </w:p>
    <w:p>
      <w:pPr>
        <w:pStyle w:val="BodyText"/>
        <w:bidi w:val="0"/>
        <w:rPr/>
      </w:pPr>
      <w:r>
        <w:rPr/>
        <w:t xml:space="preserve">Макеты разработаны для шести разрешений, требуемых методическими указаниями. Реализованы </w:t>
      </w:r>
      <w:r>
        <w:rPr>
          <w:b/>
        </w:rPr>
        <w:t>единой разметкой с медиазапросами</w:t>
      </w:r>
      <w:r>
        <w:rPr/>
        <w:t>, а не шестью отдельными изображениями: переходы между состояниями можно наблюдать, изменяя ширину окна браузера.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60"/>
        <w:gridCol w:w="1906"/>
        <w:gridCol w:w="11406"/>
      </w:tblGrid>
      <w:tr>
        <w:trPr/>
        <w:tc>
          <w:tcPr>
            <w:tcW w:w="2060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Диапазон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Артборд</w:t>
            </w:r>
          </w:p>
        </w:tc>
        <w:tc>
          <w:tcPr>
            <w:tcW w:w="11406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Изменения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1440+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1440</w:t>
            </w:r>
          </w:p>
        </w:tc>
        <w:tc>
          <w:tcPr>
            <w:tcW w:w="114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Сайдбар фильтров 3 колонки слева, сетка 4 карточки в ряд. Поиск развёрнут в шапке, вся глобальная навигация видна.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992–1199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1024</w:t>
            </w:r>
          </w:p>
        </w:tc>
        <w:tc>
          <w:tcPr>
            <w:tcW w:w="114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Сайдбар сохраняется, сетка сокращается до 3 карточек. Названия категорий в шапке без изменений.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768–991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768</w:t>
            </w:r>
          </w:p>
        </w:tc>
        <w:tc>
          <w:tcPr>
            <w:tcW w:w="114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Сайдбар сворачивается в кнопку «Фильтры» и выдвижную панель. Сетка 3 карточки. Поиск сжимается, утилиты шапки — только иконки.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576–767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600</w:t>
            </w:r>
          </w:p>
        </w:tc>
        <w:tc>
          <w:tcPr>
            <w:tcW w:w="114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Сетка 2 карточки. Сортировка переезжает в нижнюю всплывающую панель. Хлебные крошки сокращаются до последнего уровня.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400–575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414</w:t>
            </w:r>
          </w:p>
        </w:tc>
        <w:tc>
          <w:tcPr>
            <w:tcW w:w="114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Категории — горизонтальная лента с прокруткой. Внизу закрепляется панель «Фильтры · Сортировка». Поиск — по иконке.</w:t>
            </w:r>
          </w:p>
        </w:tc>
      </w:tr>
      <w:tr>
        <w:trPr/>
        <w:tc>
          <w:tcPr>
            <w:tcW w:w="2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320–399</w:t>
            </w:r>
          </w:p>
        </w:tc>
        <w:tc>
          <w:tcPr>
            <w:tcW w:w="19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360</w:t>
            </w:r>
          </w:p>
        </w:tc>
        <w:tc>
          <w:tcPr>
            <w:tcW w:w="1140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Сетка 2 карточки с уплотнённой типографикой: название в две строки, цена и рейтинг в одну. Отступы 16 px, кнопка «В корзину» на всю ширину.</w:t>
            </w:r>
          </w:p>
        </w:tc>
      </w:tr>
    </w:tbl>
    <w:p>
      <w:pPr>
        <w:pStyle w:val="BodyText"/>
        <w:bidi w:val="0"/>
        <w:rPr/>
      </w:pPr>
      <w:r>
        <w:rPr/>
        <w:t>Каждое состояние проверено в браузере измерением фактических значений: ширина контейнера, число колонок сетки, видимость боковой панели, отсутствие горизонтальной прокрутки. На ширине 1440 px боковая панель занимает ровно 312 px, что соответствует трём колонкам расчётной сетки.</w:t>
      </w:r>
    </w:p>
    <w:p>
      <w:pPr>
        <w:pStyle w:val="BodyText"/>
        <w:bidi w:val="0"/>
        <w:rPr/>
      </w:pPr>
      <w:r>
        <w:rPr/>
        <w:t>При проверке выявлены и устранены два нарушения собственного руководства по стилям: кнопка «В корзину» на узких экранах имела высоту 38 px, а нижняя панель навигации — 43 px при требовании ЛР № 1 п. 2.3 не менее 44 pt для iOS и 48 dp для Android.</w:t>
      </w:r>
    </w:p>
    <w:p>
      <w:pPr>
        <w:pStyle w:val="Heading3"/>
        <w:bidi w:val="0"/>
        <w:jc w:val="left"/>
        <w:rPr/>
      </w:pPr>
      <w:r>
        <w:rPr/>
        <w:t>2.3 Макеты экрана мобильного приложения для пяти устройств</w:t>
      </w:r>
    </w:p>
    <w:p>
      <w:pPr>
        <w:pStyle w:val="BodyText"/>
        <w:bidi w:val="0"/>
        <w:rPr/>
      </w:pPr>
      <w:r>
        <w:rPr/>
        <w:t xml:space="preserve">В соответствии с методическими указаниями выбрано пять устройств, включая планшеты. Проектируемый экран — </w:t>
      </w:r>
      <w:r>
        <w:rPr>
          <w:b/>
        </w:rPr>
        <w:t>главная после авторизации</w:t>
      </w:r>
      <w:r>
        <w:rPr/>
        <w:t xml:space="preserve"> с лентой «Специально для вас».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33"/>
        <w:gridCol w:w="2079"/>
        <w:gridCol w:w="2313"/>
        <w:gridCol w:w="3101"/>
        <w:gridCol w:w="5246"/>
      </w:tblGrid>
      <w:tr>
        <w:trPr/>
        <w:tc>
          <w:tcPr>
            <w:tcW w:w="263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Устройство</w:t>
            </w:r>
          </w:p>
        </w:tc>
        <w:tc>
          <w:tcPr>
            <w:tcW w:w="2079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Размер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Платформа</w:t>
            </w:r>
          </w:p>
        </w:tc>
        <w:tc>
          <w:tcPr>
            <w:tcW w:w="3101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Колонок карточек</w:t>
            </w:r>
          </w:p>
        </w:tc>
        <w:tc>
          <w:tcPr>
            <w:tcW w:w="5246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Особенности</w:t>
            </w:r>
          </w:p>
        </w:tc>
      </w:tr>
      <w:tr>
        <w:trPr/>
        <w:tc>
          <w:tcPr>
            <w:tcW w:w="263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iPhone SE (3rd)</w:t>
            </w:r>
          </w:p>
        </w:tc>
        <w:tc>
          <w:tcPr>
            <w:tcW w:w="207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375 × 667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iOS</w:t>
            </w:r>
          </w:p>
        </w:tc>
        <w:tc>
          <w:tcPr>
            <w:tcW w:w="31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524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минимальный кейс; проверка AC-02.1</w:t>
            </w:r>
          </w:p>
        </w:tc>
      </w:tr>
      <w:tr>
        <w:trPr/>
        <w:tc>
          <w:tcPr>
            <w:tcW w:w="263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iPhone 15 Pro</w:t>
            </w:r>
          </w:p>
        </w:tc>
        <w:tc>
          <w:tcPr>
            <w:tcW w:w="207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393 × 852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iOS</w:t>
            </w:r>
          </w:p>
        </w:tc>
        <w:tc>
          <w:tcPr>
            <w:tcW w:w="31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524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safe area, Dynamic Island</w:t>
            </w:r>
          </w:p>
        </w:tc>
      </w:tr>
      <w:tr>
        <w:trPr/>
        <w:tc>
          <w:tcPr>
            <w:tcW w:w="263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Pixel 7</w:t>
            </w:r>
          </w:p>
        </w:tc>
        <w:tc>
          <w:tcPr>
            <w:tcW w:w="207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412 × 915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Android</w:t>
            </w:r>
          </w:p>
        </w:tc>
        <w:tc>
          <w:tcPr>
            <w:tcW w:w="31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524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Material, системная кнопка «Назад»</w:t>
            </w:r>
          </w:p>
        </w:tc>
      </w:tr>
      <w:tr>
        <w:trPr/>
        <w:tc>
          <w:tcPr>
            <w:tcW w:w="263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iPad mini</w:t>
            </w:r>
          </w:p>
        </w:tc>
        <w:tc>
          <w:tcPr>
            <w:tcW w:w="207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744 × 1133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iPadOS</w:t>
            </w:r>
          </w:p>
        </w:tc>
        <w:tc>
          <w:tcPr>
            <w:tcW w:w="31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</w:t>
            </w:r>
          </w:p>
        </w:tc>
        <w:tc>
          <w:tcPr>
            <w:tcW w:w="524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 колонки карточек, side rail</w:t>
            </w:r>
          </w:p>
        </w:tc>
      </w:tr>
      <w:tr>
        <w:trPr/>
        <w:tc>
          <w:tcPr>
            <w:tcW w:w="263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iPad Pro 11"</w:t>
            </w:r>
          </w:p>
        </w:tc>
        <w:tc>
          <w:tcPr>
            <w:tcW w:w="207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834 × 1194</w:t>
            </w:r>
          </w:p>
        </w:tc>
        <w:tc>
          <w:tcPr>
            <w:tcW w:w="231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iPadOS</w:t>
            </w:r>
          </w:p>
        </w:tc>
        <w:tc>
          <w:tcPr>
            <w:tcW w:w="31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</w:t>
            </w:r>
          </w:p>
        </w:tc>
        <w:tc>
          <w:tcPr>
            <w:tcW w:w="524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master-detail</w:t>
            </w:r>
          </w:p>
        </w:tc>
      </w:tr>
    </w:tbl>
    <w:p>
      <w:pPr>
        <w:pStyle w:val="BodyText"/>
        <w:bidi w:val="0"/>
        <w:rPr/>
      </w:pPr>
      <w:r>
        <w:rPr/>
        <w:t>Планшеты включены в набор, несмотря на то что основным устройством их назвали лишь 2,2 % респондентов опроса ЛР № 1: планшетные компоновки необходимы кабинету продавца и панели модератора, где обрабатывается от 100 до 200 карточек в день. Таким образом планшет проектируется как рабочая, а не покупательская среда.</w:t>
      </w:r>
    </w:p>
    <w:p>
      <w:pPr>
        <w:pStyle w:val="BodyText"/>
        <w:bidi w:val="0"/>
        <w:rPr/>
      </w:pPr>
      <w:r>
        <w:rPr/>
        <w:t>Нижняя панель навигации во всех размерах сохраняет пять пунктов — Главная, Поиск, Избранное, Корзина, Профиль, — как зафиксировано в системе навигации ЛР № 2, п. 2.3.</w:t>
      </w:r>
    </w:p>
    <w:p>
      <w:pPr>
        <w:pStyle w:val="Heading3"/>
        <w:bidi w:val="0"/>
        <w:jc w:val="left"/>
        <w:rPr/>
      </w:pPr>
      <w:r>
        <w:rPr/>
        <w:t>2.4 Интерактивный прототип</w:t>
      </w:r>
    </w:p>
    <w:p>
      <w:pPr>
        <w:pStyle w:val="BodyText"/>
        <w:bidi w:val="0"/>
        <w:rPr/>
      </w:pPr>
      <w:r>
        <w:rPr/>
        <w:t>Прототип реализован как связанный набор экранов, открывающийся в браузере. Переходы между экранами — действующие, а не имитированные изображениями; «Ассистент по размеру» открывается всплывающей панелью поверх карточки товара, что соответствует классификации временного интерфейса из ЛР № 2, п. 1.3.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16"/>
        <w:gridCol w:w="3285"/>
        <w:gridCol w:w="4390"/>
        <w:gridCol w:w="3239"/>
        <w:gridCol w:w="3342"/>
      </w:tblGrid>
      <w:tr>
        <w:trPr/>
        <w:tc>
          <w:tcPr>
            <w:tcW w:w="1116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№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Экран</w:t>
            </w:r>
          </w:p>
        </w:tc>
        <w:tc>
          <w:tcPr>
            <w:tcW w:w="4390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Действие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Переход</w:t>
            </w:r>
          </w:p>
        </w:tc>
        <w:tc>
          <w:tcPr>
            <w:tcW w:w="3342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Вариант использования</w:t>
            </w:r>
          </w:p>
        </w:tc>
      </w:tr>
      <w:tr>
        <w:trPr/>
        <w:tc>
          <w:tcPr>
            <w:tcW w:w="111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Вход</w:t>
            </w:r>
          </w:p>
        </w:tc>
        <w:tc>
          <w:tcPr>
            <w:tcW w:w="43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«Войти» либо вход по отпечатку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 xml:space="preserve">→ </w:t>
            </w:r>
            <w:r>
              <w:rPr/>
              <w:t>Лента</w:t>
            </w:r>
          </w:p>
        </w:tc>
        <w:tc>
          <w:tcPr>
            <w:tcW w:w="33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UC-20, UC-21</w:t>
            </w:r>
          </w:p>
        </w:tc>
      </w:tr>
      <w:tr>
        <w:trPr/>
        <w:tc>
          <w:tcPr>
            <w:tcW w:w="111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Лента «Специально для вас»</w:t>
            </w:r>
          </w:p>
        </w:tc>
        <w:tc>
          <w:tcPr>
            <w:tcW w:w="43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выбор карточки товара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 xml:space="preserve">→ </w:t>
            </w:r>
            <w:r>
              <w:rPr/>
              <w:t>Карточка</w:t>
            </w:r>
          </w:p>
        </w:tc>
        <w:tc>
          <w:tcPr>
            <w:tcW w:w="33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UC-01</w:t>
            </w:r>
          </w:p>
        </w:tc>
      </w:tr>
      <w:tr>
        <w:trPr/>
        <w:tc>
          <w:tcPr>
            <w:tcW w:w="111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Карточка товара</w:t>
            </w:r>
          </w:p>
        </w:tc>
        <w:tc>
          <w:tcPr>
            <w:tcW w:w="43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чтение описания из четырёх подблоков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—</w:t>
            </w:r>
          </w:p>
        </w:tc>
        <w:tc>
          <w:tcPr>
            <w:tcW w:w="33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UC-03</w:t>
            </w:r>
          </w:p>
        </w:tc>
      </w:tr>
      <w:tr>
        <w:trPr/>
        <w:tc>
          <w:tcPr>
            <w:tcW w:w="111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Ассистент по размеру</w:t>
            </w:r>
          </w:p>
        </w:tc>
        <w:tc>
          <w:tcPr>
            <w:tcW w:w="43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ввод роста и обхвата, получение рекомендации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всплывающая панель</w:t>
            </w:r>
          </w:p>
        </w:tc>
        <w:tc>
          <w:tcPr>
            <w:tcW w:w="33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UC-04</w:t>
            </w:r>
          </w:p>
        </w:tc>
      </w:tr>
      <w:tr>
        <w:trPr/>
        <w:tc>
          <w:tcPr>
            <w:tcW w:w="111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Карточка товара</w:t>
            </w:r>
          </w:p>
        </w:tc>
        <w:tc>
          <w:tcPr>
            <w:tcW w:w="43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«В корзину»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 xml:space="preserve">→ </w:t>
            </w:r>
            <w:r>
              <w:rPr/>
              <w:t>Корзина</w:t>
            </w:r>
          </w:p>
        </w:tc>
        <w:tc>
          <w:tcPr>
            <w:tcW w:w="33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UC-05</w:t>
            </w:r>
          </w:p>
        </w:tc>
      </w:tr>
      <w:tr>
        <w:trPr/>
        <w:tc>
          <w:tcPr>
            <w:tcW w:w="111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Корзина</w:t>
            </w:r>
          </w:p>
        </w:tc>
        <w:tc>
          <w:tcPr>
            <w:tcW w:w="43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выбор способа оплаты, «Оформить заказ»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 xml:space="preserve">→ </w:t>
            </w:r>
            <w:r>
              <w:rPr/>
              <w:t>Подтверждение</w:t>
            </w:r>
          </w:p>
        </w:tc>
        <w:tc>
          <w:tcPr>
            <w:tcW w:w="33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UC-06</w:t>
            </w:r>
          </w:p>
        </w:tc>
      </w:tr>
      <w:tr>
        <w:trPr/>
        <w:tc>
          <w:tcPr>
            <w:tcW w:w="111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</w:t>
            </w:r>
          </w:p>
        </w:tc>
        <w:tc>
          <w:tcPr>
            <w:tcW w:w="328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Заказ оформлен</w:t>
            </w:r>
          </w:p>
        </w:tc>
        <w:tc>
          <w:tcPr>
            <w:tcW w:w="439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номер заказа, пункт выдачи, условия возврата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 xml:space="preserve">→ </w:t>
            </w:r>
            <w:r>
              <w:rPr/>
              <w:t>Лента</w:t>
            </w:r>
          </w:p>
        </w:tc>
        <w:tc>
          <w:tcPr>
            <w:tcW w:w="334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UC-23</w:t>
            </w:r>
          </w:p>
        </w:tc>
      </w:tr>
    </w:tbl>
    <w:p>
      <w:pPr>
        <w:pStyle w:val="BodyText"/>
        <w:bidi w:val="0"/>
        <w:rPr/>
      </w:pPr>
      <w:r>
        <w:rPr/>
        <w:t>Соответствие прототипа требованиям предыдущих работ проверено автоматически по тринадцати пунктам: описание размещено выше кнопки «В корзину» (AC-02.1), присутствуют все четыре подблока описания (AC-02.2), отсутствуют термины автоматической генерации (AC-02.6, ОГР-2), параметры размера вводятся непосредственно в ассистенте без перехода в профиль (US-04), срок возврата виден до оформления заказа (US-12), пункт самовывоза предложен по умолчанию, а способы оплаты упорядочены по данным опроса ЛР № 1 — банковская карта первой, ЕРИП третьим. Размер интерактивных элементов во всех экранах не менее 48 px.</w:t>
      </w:r>
    </w:p>
    <w:p>
      <w:pPr>
        <w:pStyle w:val="BodyText"/>
        <w:bidi w:val="0"/>
        <w:rPr/>
      </w:pPr>
      <w:r>
        <w:rPr/>
        <w:t>Экраны прототипа приведены в приложении В.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01"/>
        <w:gridCol w:w="11071"/>
      </w:tblGrid>
      <w:tr>
        <w:trPr/>
        <w:tc>
          <w:tcPr>
            <w:tcW w:w="4301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Что</w:t>
            </w:r>
          </w:p>
        </w:tc>
        <w:tc>
          <w:tcPr>
            <w:tcW w:w="11071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Адрес</w:t>
            </w:r>
          </w:p>
        </w:tc>
      </w:tr>
      <w:tr>
        <w:trPr/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Интерактивный прототип</w:t>
            </w:r>
          </w:p>
        </w:tc>
        <w:tc>
          <w:tcPr>
            <w:tcW w:w="1107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https://fpmi-hci-2026.github.io/hci-10-project-group-1/lab5/mockups/prototype-login.html</w:t>
            </w:r>
          </w:p>
        </w:tc>
      </w:tr>
      <w:tr>
        <w:trPr/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Адаптивные макеты каталога</w:t>
            </w:r>
          </w:p>
        </w:tc>
        <w:tc>
          <w:tcPr>
            <w:tcW w:w="1107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https://fpmi-hci-2026.github.io/hci-10-project-group-1/lab5/mockups/responsive-catalog.html</w:t>
            </w:r>
          </w:p>
        </w:tc>
      </w:tr>
      <w:tr>
        <w:trPr/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Экраны на пяти устройствах</w:t>
            </w:r>
          </w:p>
        </w:tc>
        <w:tc>
          <w:tcPr>
            <w:tcW w:w="1107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https://fpmi-hci-2026.github.io/hci-10-project-group-1/lab5/mockups/devices.html</w:t>
            </w:r>
          </w:p>
        </w:tc>
      </w:tr>
      <w:tr>
        <w:trPr/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Макеты в Figma</w:t>
            </w:r>
          </w:p>
        </w:tc>
        <w:tc>
          <w:tcPr>
            <w:tcW w:w="1107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https://www.figma.com/design/DIsarmkx75gQIm7ncRLsAZ/МаркетШоп</w:t>
            </w:r>
          </w:p>
        </w:tc>
      </w:tr>
    </w:tbl>
    <w:p>
      <w:pPr>
        <w:pStyle w:val="BodyText"/>
        <w:bidi w:val="0"/>
        <w:rPr/>
      </w:pPr>
      <w:r>
        <w:rPr/>
        <w:t>Дополнительно разработано техническое задание на сборку прототипа в Figma (</w:t>
      </w:r>
      <w:r>
        <w:rPr>
          <w:rStyle w:val="Style12"/>
        </w:rPr>
        <w:t>prototype/figma-spec.md</w:t>
      </w:r>
      <w:r>
        <w:rPr/>
        <w:t>): структура файла, коллекции переменных, 21 компонент с перечнем состояний и карта переходов с шестью ветвями отказа, соответствующими кодам ответа API из ЛР № 4 — 422 с перечнем недостающих атрибутов, 409 при заблокированном описании, 409 при попытке захватить взятую задачу модерации, 503 при недоступности сервиса генерации, 401 при истёкшем токене и 413 при превышении размера партии.</w:t>
      </w:r>
    </w:p>
    <w:p>
      <w:pPr>
        <w:pStyle w:val="Heading2"/>
        <w:bidi w:val="0"/>
        <w:jc w:val="left"/>
        <w:rPr/>
      </w:pPr>
      <w:r>
        <w:rPr/>
        <w:t>3 Руководства по стилям</w:t>
      </w:r>
    </w:p>
    <w:p>
      <w:pPr>
        <w:pStyle w:val="BodyText"/>
        <w:bidi w:val="0"/>
        <w:rPr/>
      </w:pPr>
      <w:r>
        <w:rPr/>
        <w:t xml:space="preserve">Разработаны два руководства — для веб- и для мобильного приложения. Оба собираются скриптом </w:t>
      </w:r>
      <w:r>
        <w:rPr>
          <w:rStyle w:val="Style12"/>
        </w:rPr>
        <w:t>tools/gen_style_guide.py</w:t>
      </w:r>
      <w:r>
        <w:rPr/>
        <w:t xml:space="preserve"> из </w:t>
      </w:r>
      <w:r>
        <w:rPr>
          <w:rStyle w:val="Style12"/>
        </w:rPr>
        <w:t>design/tokens.json</w:t>
      </w:r>
      <w:r>
        <w:rPr/>
        <w:t>, поэтому значения цветов и размеров в руководстве, в макетах и в переменных Figma совпадают по построению.</w:t>
      </w:r>
    </w:p>
    <w:tbl>
      <w:tblPr>
        <w:tblW w:w="1346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02"/>
        <w:gridCol w:w="9466"/>
      </w:tblGrid>
      <w:tr>
        <w:trPr/>
        <w:tc>
          <w:tcPr>
            <w:tcW w:w="4002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Раздел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Содержание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Логотип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построение, охранное поле, минимальный размер, запреты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Цвет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31 токенов в светлой и тёмной темах, отчёт о контрасте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Статусы описания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 xml:space="preserve">6 бейджей по числу значений перечисления </w:t>
            </w:r>
            <w:r>
              <w:rPr>
                <w:rStyle w:val="Style12"/>
              </w:rPr>
              <w:t>description.status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Уверенность генератора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 дискретных уровня, скрытые от покупателя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Типографика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9 ступеней шкалы, Inter и Manrope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Сетка и отступы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 брейкпоинтов, шаг 8 pt, шкала радиусов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Компоненты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21 компонент с вариантами и состояниями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Обработка ошибок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9 кодов ответа API, формат RFC 9457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Тон голоса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готовая микрокопия, запрещённые формулировки и термины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Видимость по контурам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что показывается покупателю, продавцу, модератору, администратору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Фотографии товара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соотношение, фон, обязательные кадры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Движение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три длительности, поведение при «уменьшить движение»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Доступность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контраст, размеры текста, фокус, тач-зоны</w:t>
            </w:r>
          </w:p>
        </w:tc>
      </w:tr>
      <w:tr>
        <w:trPr/>
        <w:tc>
          <w:tcPr>
            <w:tcW w:w="4002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Платформенные различия</w:t>
            </w:r>
          </w:p>
        </w:tc>
        <w:tc>
          <w:tcPr>
            <w:tcW w:w="9466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iOS и Android: гарнитуры, навигация, жесты (только мобильное)</w:t>
            </w:r>
          </w:p>
        </w:tc>
      </w:tr>
    </w:tbl>
    <w:p>
      <w:pPr>
        <w:pStyle w:val="BodyText"/>
        <w:bidi w:val="0"/>
        <w:rPr/>
      </w:pPr>
      <w:r>
        <w:rPr/>
        <w:t>Два раздела заслуживают отдельного пояснения, поскольку выведены из моделей ЛР № 4, а не из общих рекомендаций по оформлению.</w:t>
      </w:r>
    </w:p>
    <w:p>
      <w:pPr>
        <w:pStyle w:val="Heading3"/>
        <w:bidi w:val="0"/>
        <w:jc w:val="left"/>
        <w:rPr/>
      </w:pPr>
      <w:r>
        <w:rPr/>
        <w:t>3.1 Трассируемость в код</w:t>
      </w:r>
    </w:p>
    <w:p>
      <w:pPr>
        <w:pStyle w:val="BodyText"/>
        <w:bidi w:val="0"/>
        <w:rPr/>
      </w:pPr>
      <w:r>
        <w:rPr/>
        <w:t>Имена токенов (</w:t>
      </w:r>
      <w:r>
        <w:rPr>
          <w:rStyle w:val="Style12"/>
        </w:rPr>
        <w:t>brand</w:t>
      </w:r>
      <w:r>
        <w:rPr/>
        <w:t xml:space="preserve">, </w:t>
      </w:r>
      <w:r>
        <w:rPr>
          <w:rStyle w:val="Style12"/>
        </w:rPr>
        <w:t>accent</w:t>
      </w:r>
      <w:r>
        <w:rPr/>
        <w:t xml:space="preserve">, </w:t>
      </w:r>
      <w:r>
        <w:rPr>
          <w:rStyle w:val="Style12"/>
        </w:rPr>
        <w:t>on-accent</w:t>
      </w:r>
      <w:r>
        <w:rPr/>
        <w:t xml:space="preserve">, </w:t>
      </w:r>
      <w:r>
        <w:rPr>
          <w:rStyle w:val="Style12"/>
        </w:rPr>
        <w:t>surface</w:t>
      </w:r>
      <w:r>
        <w:rPr/>
        <w:t xml:space="preserve">, </w:t>
      </w:r>
      <w:r>
        <w:rPr>
          <w:rStyle w:val="Style12"/>
        </w:rPr>
        <w:t>text-muted</w:t>
      </w:r>
      <w:r>
        <w:rPr/>
        <w:t xml:space="preserve"> и прочие) одинаковы в </w:t>
      </w:r>
      <w:r>
        <w:rPr>
          <w:rStyle w:val="Style12"/>
        </w:rPr>
        <w:t>design/tokens.json</w:t>
      </w:r>
      <w:r>
        <w:rPr/>
        <w:t>, в CSS-переменных макетов и в коллекциях переменных Figma. Соответствие дизайна и реализации не требует перевода: разработчик фронтенда использует то же имя, что указано в руководстве.</w:t>
      </w:r>
    </w:p>
    <w:p>
      <w:pPr>
        <w:pStyle w:val="BodyText"/>
        <w:bidi w:val="0"/>
        <w:rPr/>
      </w:pPr>
      <w:r>
        <w:rPr/>
        <w:t xml:space="preserve">Выбранная по результатам теста палитра — </w:t>
      </w:r>
      <w:r>
        <w:rPr>
          <w:b/>
        </w:rPr>
        <w:t>Вариант C «Тёплый локальный»</w:t>
      </w:r>
      <w:r>
        <w:rPr/>
        <w:t xml:space="preserve">: шапка и глобальная навигация </w:t>
      </w:r>
      <w:r>
        <w:rPr>
          <w:rStyle w:val="Style12"/>
        </w:rPr>
        <w:t>#3E3228</w:t>
      </w:r>
      <w:r>
        <w:rPr/>
        <w:t xml:space="preserve">, кнопка ключевого действия </w:t>
      </w:r>
      <w:r>
        <w:rPr>
          <w:rStyle w:val="Style12"/>
        </w:rPr>
        <w:t>#A8462A</w:t>
      </w:r>
      <w:r>
        <w:rPr/>
        <w:t xml:space="preserve">, фон </w:t>
      </w:r>
      <w:r>
        <w:rPr>
          <w:rStyle w:val="Style12"/>
        </w:rPr>
        <w:t>#FAF6EF</w:t>
      </w:r>
      <w:r>
        <w:rPr/>
        <w:t xml:space="preserve">, декоративный оттенок </w:t>
      </w:r>
      <w:r>
        <w:rPr>
          <w:rStyle w:val="Style12"/>
        </w:rPr>
        <w:t>#7A8450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4 Планирование этапа концептуального проектирования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4"/>
        <w:gridCol w:w="5809"/>
        <w:gridCol w:w="5140"/>
        <w:gridCol w:w="3009"/>
      </w:tblGrid>
      <w:tr>
        <w:trPr/>
        <w:tc>
          <w:tcPr>
            <w:tcW w:w="1414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Шаг</w:t>
            </w:r>
          </w:p>
        </w:tc>
        <w:tc>
          <w:tcPr>
            <w:tcW w:w="5809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Содержание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Результат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Исполнитель</w:t>
            </w:r>
          </w:p>
        </w:tc>
      </w:tr>
      <w:tr>
        <w:trPr/>
        <w:tc>
          <w:tcPr>
            <w:tcW w:w="14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</w:t>
            </w:r>
          </w:p>
        </w:tc>
        <w:tc>
          <w:tcPr>
            <w:tcW w:w="58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Анализ шаблонов и методик тестирования визуального дизайна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таблица решений, выбор метода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Шепко В.</w:t>
            </w:r>
          </w:p>
        </w:tc>
      </w:tr>
      <w:tr>
        <w:trPr/>
        <w:tc>
          <w:tcPr>
            <w:tcW w:w="14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</w:t>
            </w:r>
          </w:p>
        </w:tc>
        <w:tc>
          <w:tcPr>
            <w:tcW w:w="58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Разработка пар прилагательных и целевого профиля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15 пар, обоснование по ЛР № 1 — ЛР № 4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Харченко А.</w:t>
            </w:r>
          </w:p>
        </w:tc>
      </w:tr>
      <w:tr>
        <w:trPr/>
        <w:tc>
          <w:tcPr>
            <w:tcW w:w="14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</w:t>
            </w:r>
          </w:p>
        </w:tc>
        <w:tc>
          <w:tcPr>
            <w:tcW w:w="58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Подготовка цветовых схем и проверка контраста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3 палитры, 126 проверенных пар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Харченко А.</w:t>
            </w:r>
          </w:p>
        </w:tc>
      </w:tr>
      <w:tr>
        <w:trPr/>
        <w:tc>
          <w:tcPr>
            <w:tcW w:w="14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4</w:t>
            </w:r>
          </w:p>
        </w:tc>
        <w:tc>
          <w:tcPr>
            <w:tcW w:w="58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Сборка макетов для исследования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 макетов из одной разметки, фиксация версии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Степук А.</w:t>
            </w:r>
          </w:p>
        </w:tc>
      </w:tr>
      <w:tr>
        <w:trPr/>
        <w:tc>
          <w:tcPr>
            <w:tcW w:w="14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5</w:t>
            </w:r>
          </w:p>
        </w:tc>
        <w:tc>
          <w:tcPr>
            <w:tcW w:w="58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Проведение теста и обработка результатов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11 анкет, 4 диаграммы-профиля, выбор варианта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Харченко А.</w:t>
            </w:r>
          </w:p>
        </w:tc>
      </w:tr>
      <w:tr>
        <w:trPr/>
        <w:tc>
          <w:tcPr>
            <w:tcW w:w="14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</w:t>
            </w:r>
          </w:p>
        </w:tc>
        <w:tc>
          <w:tcPr>
            <w:tcW w:w="58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Адаптивные макеты и макеты устройств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6 разрешений, 5 устройств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Шепко В.</w:t>
            </w:r>
          </w:p>
        </w:tc>
      </w:tr>
      <w:tr>
        <w:trPr/>
        <w:tc>
          <w:tcPr>
            <w:tcW w:w="14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7</w:t>
            </w:r>
          </w:p>
        </w:tc>
        <w:tc>
          <w:tcPr>
            <w:tcW w:w="58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Руководства по стилям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 документа, 33 раздела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Степук А.</w:t>
            </w:r>
          </w:p>
        </w:tc>
      </w:tr>
      <w:tr>
        <w:trPr/>
        <w:tc>
          <w:tcPr>
            <w:tcW w:w="141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8</w:t>
            </w:r>
          </w:p>
        </w:tc>
        <w:tc>
          <w:tcPr>
            <w:tcW w:w="58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Техническое задание на прототип и сборка в Figma</w:t>
            </w:r>
          </w:p>
        </w:tc>
        <w:tc>
          <w:tcPr>
            <w:tcW w:w="514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ТЗ, карта переходов, интерактивный прототип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Шепко В., Степук А.</w:t>
            </w:r>
          </w:p>
        </w:tc>
      </w:tr>
    </w:tbl>
    <w:p>
      <w:pPr>
        <w:pStyle w:val="BodyText"/>
        <w:bidi w:val="0"/>
        <w:rPr/>
      </w:pPr>
      <w:r>
        <w:rPr/>
        <w:t>Последовательность шагов определяется зависимостями по данным: цветовые схемы нельзя подготовить до определения целевого профиля, макеты для исследования — до утверждения схем, а руководства по стилям и прототип — до выбора варианта по результатам теста. Шаги 1 и 2 выполнялись параллельно, равно как шаги 6 и 7 после получения результатов.</w:t>
      </w:r>
    </w:p>
    <w:p>
      <w:pPr>
        <w:pStyle w:val="BodyText"/>
        <w:bidi w:val="0"/>
        <w:rPr/>
      </w:pPr>
      <w:r>
        <w:rPr/>
        <w:t>Решение строить все артефакты из общего набора токенов принято на шаге 3 и позволило выполнить шаг 7 без переработки: смена палитры по результатам теста свелась к перегенерации документов.</w:t>
      </w:r>
    </w:p>
    <w:p>
      <w:pPr>
        <w:pStyle w:val="Heading2"/>
        <w:bidi w:val="0"/>
        <w:jc w:val="left"/>
        <w:rPr/>
      </w:pPr>
      <w:r>
        <w:rPr/>
        <w:t>Выходные документы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04"/>
        <w:gridCol w:w="9668"/>
      </w:tblGrid>
      <w:tr>
        <w:trPr/>
        <w:tc>
          <w:tcPr>
            <w:tcW w:w="5704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Требование методических указаний</w:t>
            </w:r>
          </w:p>
        </w:tc>
        <w:tc>
          <w:tcPr>
            <w:tcW w:w="9668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Артефакт</w:t>
            </w:r>
          </w:p>
        </w:tc>
      </w:tr>
      <w:tr>
        <w:trPr/>
        <w:tc>
          <w:tcPr>
            <w:tcW w:w="570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2–3 вида дизайн-макета веб- и мобильного приложения</w:t>
            </w:r>
          </w:p>
        </w:tc>
        <w:tc>
          <w:tcPr>
            <w:tcW w:w="966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mockups/visual-language.html</w:t>
            </w:r>
            <w:r>
              <w:rPr/>
              <w:t xml:space="preserve"> — 3 варианта × 2 экрана</w:t>
            </w:r>
          </w:p>
        </w:tc>
      </w:tr>
      <w:tr>
        <w:trPr/>
        <w:tc>
          <w:tcPr>
            <w:tcW w:w="570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Результаты исследования визуального языка</w:t>
            </w:r>
          </w:p>
        </w:tc>
        <w:tc>
          <w:tcPr>
            <w:tcW w:w="966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research/results.md</w:t>
            </w:r>
            <w:r>
              <w:rPr/>
              <w:t xml:space="preserve">, </w:t>
            </w:r>
            <w:r>
              <w:rPr>
                <w:rStyle w:val="Style12"/>
              </w:rPr>
              <w:t>research/charts/profile-*.svg</w:t>
            </w:r>
          </w:p>
        </w:tc>
      </w:tr>
      <w:tr>
        <w:trPr/>
        <w:tc>
          <w:tcPr>
            <w:tcW w:w="570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Макеты страницы и экрана под разные разрешения</w:t>
            </w:r>
          </w:p>
        </w:tc>
        <w:tc>
          <w:tcPr>
            <w:tcW w:w="966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mockups/catalog.html</w:t>
            </w:r>
            <w:r>
              <w:rPr/>
              <w:t xml:space="preserve">, </w:t>
            </w:r>
            <w:r>
              <w:rPr>
                <w:rStyle w:val="Style12"/>
              </w:rPr>
              <w:t>mockups/responsive-catalog.html</w:t>
            </w:r>
            <w:r>
              <w:rPr/>
              <w:t xml:space="preserve">, </w:t>
            </w:r>
            <w:r>
              <w:rPr>
                <w:rStyle w:val="Style12"/>
              </w:rPr>
              <w:t>mockups/mobile-home.html</w:t>
            </w:r>
            <w:r>
              <w:rPr/>
              <w:t xml:space="preserve">, </w:t>
            </w:r>
            <w:r>
              <w:rPr>
                <w:rStyle w:val="Style12"/>
              </w:rPr>
              <w:t>mockups/devices.html</w:t>
            </w:r>
          </w:p>
        </w:tc>
      </w:tr>
      <w:tr>
        <w:trPr/>
        <w:tc>
          <w:tcPr>
            <w:tcW w:w="570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Концептуальные макеты: интерактивные прототипы</w:t>
            </w:r>
          </w:p>
        </w:tc>
        <w:tc>
          <w:tcPr>
            <w:tcW w:w="966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prototype/figma-spec.md</w:t>
            </w:r>
            <w:r>
              <w:rPr/>
              <w:t xml:space="preserve">, </w:t>
            </w:r>
            <w:r>
              <w:rPr>
                <w:rStyle w:val="Style12"/>
              </w:rPr>
              <w:t>prototype/transitions.mmd</w:t>
            </w:r>
            <w:r>
              <w:rPr/>
              <w:t>, ссылка на Figma</w:t>
            </w:r>
          </w:p>
        </w:tc>
      </w:tr>
      <w:tr>
        <w:trPr/>
        <w:tc>
          <w:tcPr>
            <w:tcW w:w="570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Руководства по стилям для мобильного и веб-приложения</w:t>
            </w:r>
          </w:p>
        </w:tc>
        <w:tc>
          <w:tcPr>
            <w:tcW w:w="966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style-guide/web.md</w:t>
            </w:r>
            <w:r>
              <w:rPr/>
              <w:t xml:space="preserve">, </w:t>
            </w:r>
            <w:r>
              <w:rPr>
                <w:rStyle w:val="Style12"/>
              </w:rPr>
              <w:t>style-guide/mobile.md</w:t>
            </w:r>
          </w:p>
        </w:tc>
      </w:tr>
      <w:tr>
        <w:trPr/>
        <w:tc>
          <w:tcPr>
            <w:tcW w:w="570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Отчёт с планированием этапа и описанием шагов</w:t>
            </w:r>
          </w:p>
        </w:tc>
        <w:tc>
          <w:tcPr>
            <w:tcW w:w="966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настоящий документ</w:t>
            </w:r>
          </w:p>
        </w:tc>
      </w:tr>
    </w:tbl>
    <w:p>
      <w:pPr>
        <w:pStyle w:val="Heading2"/>
        <w:bidi w:val="0"/>
        <w:jc w:val="left"/>
        <w:rPr/>
      </w:pPr>
      <w:r>
        <w:rPr/>
        <w:t>Заключение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>Исследован визуальный язык продукта. Составлен список из 15 пар прилагательных с целевым профилем, обоснованным данными ЛР № 1 — ЛР № 4 и заданным до проведения теста. Подготовлены три цветовых варианта, различающиеся исключительно значениями токенов.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>Проведён тест с 11 респондентами, состав выборки соответствует группам пользователей из ЛР № 1. Выбран вариант Вариант C «Тёплый локальный» с взвешенным отклонением 9.77 против 10.77 и 13.05 у остальных. Результат подтверждён контрольным вопросом (6 из 11) и проверен на устойчивость к эффекту порядка.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>Цветовая концепция, предложенная в ЛР № 2, по результатам теста заняла последнее место и заменена. Дополнительно установлено, что её акцентный цвет не удовлетворял требованию WCAG по контрасту. Проектное решение, принятое ранее без проверки, скорректировано эмпирическими данными.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>Разработаны адаптивные макеты каталога для шести разрешений и макеты главного экрана для пяти устройств, включая планшеты. Макеты реализованы единой отзывчивой разметкой; каждое состояние проверено измерением фактических значений в браузере.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>Разработаны руководства по стилям для веб- и мобильного приложения. Перечень состояний компонентов выведен из кодов ответа API и перечислений базы данных ЛР № 4, а не составлен произвольно, что обеспечивает полноту покрытия состояний системы.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>Все артефакты генерируются из общего набора токенов, поэтому макеты, руководства по стилям и настоящий отчёт согласованы между собой по построению.</w:t>
      </w:r>
    </w:p>
    <w:p>
      <w:pPr>
        <w:pStyle w:val="Heading2"/>
        <w:bidi w:val="0"/>
        <w:jc w:val="left"/>
        <w:rPr/>
      </w:pPr>
      <w:r>
        <w:rPr/>
        <w:t>Список использованных источников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Давидовская, М. И. Проектирование прототипа приложения : методические указания по выполнению лабораторной работы № 5 / М. И. Давидовская. — Минск : БГУ, 2024.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Харченко, А. Лабораторная работа № 4. Стили интеграции программных систем и проектирование API / А. Харченко, В. Шепко, А. Степук. — Минск : БГУ, 2026.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Харченко, А. Лабораторная работа № 2. Проектирование информационной архитектуры и взаимодействия с пользователем / А. Харченко, В. Шепко, А. Степук. — Минск : БГУ, 2026.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Osgood, C. E. The Measurement of Meaning / C. E. Osgood, G. J. Suci, P. H. Tannenbaum. — University of Illinois Press, 1957.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Web Content Accessibility Guidelines (WCAG) 2.1 [Электронный ресурс]. — Режим доступа: https://www.w3.org/TR/WCAG21/. — Дата доступа: 28.10.2026.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Material Design 3. Accessibility [Электронный ресурс]. — Режим доступа: https://m3.material.io/foundations/accessible-design. — Дата доступа: 28.10.2026.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Human Interface Guidelines. Layout [Электронный ресурс]. — Режим доступа: https://developer.apple.com/design/human-interface-guidelines/layout. — Дата доступа: 28.10.2026.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Figma. Prototyping [Электронный ресурс]. — Режим доступа: https://help.figma.com/category/87-prototyping. — Дата доступа: 27.10.2026.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Paletton — The Color Scheme Designer [Электронный ресурс]. — Режим доступа: http://paletton.com. — Дата доступа: 27.10.2026.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firstLine="426" w:left="709"/>
        <w:rPr/>
      </w:pPr>
      <w:r>
        <w:rPr/>
        <w:t>Guidelines For Navigation And Categories In E-Commerce [Электронный ресурс]. — Режим доступа: https://www.smashingmagazine.com. — Дата доступа: 27.10.2026.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firstLine="426" w:left="709"/>
        <w:rPr/>
      </w:pPr>
      <w:r>
        <w:rPr/>
        <w:t>RFC 9457. Problem Details for HTTP APIs [Электронный ресурс]. — Режим доступа: https://www.rfc-editor.org/rfc/rfc9457. — Дата доступа: 20.10.2026.</w:t>
      </w:r>
    </w:p>
    <w:p>
      <w:pPr>
        <w:pStyle w:val="Heading2"/>
        <w:bidi w:val="0"/>
        <w:jc w:val="left"/>
        <w:rPr/>
      </w:pPr>
      <w:r>
        <w:rPr/>
        <w:t>Приложение А. Диаграммы-профили</w:t>
      </w:r>
    </w:p>
    <w:p>
      <w:pPr>
        <w:pStyle w:val="BodyText"/>
        <w:bidi w:val="0"/>
        <w:rPr/>
      </w:pPr>
      <w:r>
        <w:rPr/>
        <w:t xml:space="preserve">Диаграммы построены скриптом </w:t>
      </w:r>
      <w:r>
        <w:rPr>
          <w:rStyle w:val="Style12"/>
        </w:rPr>
        <w:t>tools/gen_visual_report.py</w:t>
      </w:r>
      <w:r>
        <w:rPr/>
        <w:t xml:space="preserve"> из файла ответов. Пунктирной линией нанесён целевой профиль, заданный до проведения теста.</w:t>
      </w:r>
    </w:p>
    <w:tbl>
      <w:tblPr>
        <w:tblW w:w="1207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015"/>
        <w:gridCol w:w="7060"/>
      </w:tblGrid>
      <w:tr>
        <w:trPr/>
        <w:tc>
          <w:tcPr>
            <w:tcW w:w="5015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Файл</w:t>
            </w:r>
          </w:p>
        </w:tc>
        <w:tc>
          <w:tcPr>
            <w:tcW w:w="7060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Содержание</w:t>
            </w:r>
          </w:p>
        </w:tc>
      </w:tr>
      <w:tr>
        <w:trPr/>
        <w:tc>
          <w:tcPr>
            <w:tcW w:w="501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research/charts/profile-all.svg</w:t>
            </w:r>
          </w:p>
        </w:tc>
        <w:tc>
          <w:tcPr>
            <w:tcW w:w="7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профили всех трёх вариантов с целевым профилем</w:t>
            </w:r>
          </w:p>
        </w:tc>
      </w:tr>
      <w:tr>
        <w:trPr/>
        <w:tc>
          <w:tcPr>
            <w:tcW w:w="501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research/charts/profile-a.svg</w:t>
            </w:r>
          </w:p>
        </w:tc>
        <w:tc>
          <w:tcPr>
            <w:tcW w:w="7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вариант A «Доверие» отдельно</w:t>
            </w:r>
          </w:p>
        </w:tc>
      </w:tr>
      <w:tr>
        <w:trPr/>
        <w:tc>
          <w:tcPr>
            <w:tcW w:w="501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research/charts/profile-b.svg</w:t>
            </w:r>
          </w:p>
        </w:tc>
        <w:tc>
          <w:tcPr>
            <w:tcW w:w="7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вариант B «Технологичный» отдельно</w:t>
            </w:r>
          </w:p>
        </w:tc>
      </w:tr>
      <w:tr>
        <w:trPr/>
        <w:tc>
          <w:tcPr>
            <w:tcW w:w="501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research/charts/profile-c.svg</w:t>
            </w:r>
          </w:p>
        </w:tc>
        <w:tc>
          <w:tcPr>
            <w:tcW w:w="7060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вариант C «Тёплый локальный» отдельно</w:t>
            </w:r>
          </w:p>
        </w:tc>
      </w:tr>
    </w:tbl>
    <w:p>
      <w:pPr>
        <w:pStyle w:val="Heading2"/>
        <w:bidi w:val="0"/>
        <w:jc w:val="left"/>
        <w:rPr/>
      </w:pPr>
      <w:r>
        <w:rPr/>
        <w:t>Приложение Б. Состав файлов и порядок сборки</w:t>
      </w:r>
    </w:p>
    <w:tbl>
      <w:tblPr>
        <w:tblW w:w="153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43"/>
        <w:gridCol w:w="4301"/>
        <w:gridCol w:w="6928"/>
      </w:tblGrid>
      <w:tr>
        <w:trPr/>
        <w:tc>
          <w:tcPr>
            <w:tcW w:w="4143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Скрипт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Входные данные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Результат</w:t>
            </w:r>
          </w:p>
        </w:tc>
      </w:tr>
      <w:tr>
        <w:trPr/>
        <w:tc>
          <w:tcPr>
            <w:tcW w:w="414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tools/check_contrast.py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design/tokens.json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design/contrast-report.md</w:t>
            </w:r>
          </w:p>
        </w:tc>
      </w:tr>
      <w:tr>
        <w:trPr/>
        <w:tc>
          <w:tcPr>
            <w:tcW w:w="414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tools/build_mockups.py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токены, товары, карточка товара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mockups/visual-language.html</w:t>
            </w:r>
          </w:p>
        </w:tc>
      </w:tr>
      <w:tr>
        <w:trPr/>
        <w:tc>
          <w:tcPr>
            <w:tcW w:w="414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tools/serve_test.py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токены, пары прилагательных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research/raw.csv</w:t>
            </w:r>
          </w:p>
        </w:tc>
      </w:tr>
      <w:tr>
        <w:trPr/>
        <w:tc>
          <w:tcPr>
            <w:tcW w:w="414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tools/gen_visual_report.py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raw.csv</w:t>
            </w:r>
            <w:r>
              <w:rPr/>
              <w:t xml:space="preserve">, </w:t>
            </w:r>
            <w:r>
              <w:rPr>
                <w:rStyle w:val="Style12"/>
              </w:rPr>
              <w:t>adjectives.csv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research/results.md</w:t>
            </w:r>
            <w:r>
              <w:rPr/>
              <w:t>, диаграммы</w:t>
            </w:r>
          </w:p>
        </w:tc>
      </w:tr>
      <w:tr>
        <w:trPr/>
        <w:tc>
          <w:tcPr>
            <w:tcW w:w="414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tools/build_responsive.py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токены, товары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catalog.html</w:t>
            </w:r>
            <w:r>
              <w:rPr/>
              <w:t xml:space="preserve">, </w:t>
            </w:r>
            <w:r>
              <w:rPr>
                <w:rStyle w:val="Style12"/>
              </w:rPr>
              <w:t>mobile-home.html</w:t>
            </w:r>
            <w:r>
              <w:rPr/>
              <w:t xml:space="preserve">, витрины, </w:t>
            </w:r>
            <w:r>
              <w:rPr>
                <w:rStyle w:val="Style12"/>
              </w:rPr>
              <w:t>BREAKPOINTS.md</w:t>
            </w:r>
          </w:p>
        </w:tc>
      </w:tr>
      <w:tr>
        <w:trPr/>
        <w:tc>
          <w:tcPr>
            <w:tcW w:w="414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tools/build_prototype.py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токены, товары, карточка товара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mockups/prototype-*.html</w:t>
            </w:r>
            <w:r>
              <w:rPr/>
              <w:t xml:space="preserve"> — 5 связанных экранов</w:t>
            </w:r>
          </w:p>
        </w:tc>
      </w:tr>
      <w:tr>
        <w:trPr/>
        <w:tc>
          <w:tcPr>
            <w:tcW w:w="414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tools/make_screenshots.py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макеты, headless Firefox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prototype/screenshots/</w:t>
            </w:r>
            <w:r>
              <w:rPr/>
              <w:t xml:space="preserve"> — 19 файлов</w:t>
            </w:r>
          </w:p>
        </w:tc>
      </w:tr>
      <w:tr>
        <w:trPr/>
        <w:tc>
          <w:tcPr>
            <w:tcW w:w="414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tools/gen_style_guide.py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design/tokens.json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style-guide/web.md</w:t>
            </w:r>
            <w:r>
              <w:rPr/>
              <w:t xml:space="preserve">, </w:t>
            </w:r>
            <w:r>
              <w:rPr>
                <w:rStyle w:val="Style12"/>
              </w:rPr>
              <w:t>style-guide/mobile.md</w:t>
            </w:r>
          </w:p>
        </w:tc>
      </w:tr>
      <w:tr>
        <w:trPr/>
        <w:tc>
          <w:tcPr>
            <w:tcW w:w="4143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tools/gen_report.py</w:t>
            </w:r>
          </w:p>
        </w:tc>
        <w:tc>
          <w:tcPr>
            <w:tcW w:w="4301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все перечисленные артефакты</w:t>
            </w:r>
          </w:p>
        </w:tc>
        <w:tc>
          <w:tcPr>
            <w:tcW w:w="6928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настоящий отчёт</w:t>
            </w:r>
          </w:p>
        </w:tc>
      </w:tr>
    </w:tbl>
    <w:p>
      <w:pPr>
        <w:pStyle w:val="BodyText"/>
        <w:bidi w:val="0"/>
        <w:rPr/>
      </w:pPr>
      <w:r>
        <w:rPr/>
        <w:t>Пересборка после изменения токенов или данных выполняется повторным запуском скриптов в указанном порядке; значения в отчёте обновляются автоматически.</w:t>
      </w:r>
    </w:p>
    <w:p>
      <w:pPr>
        <w:pStyle w:val="Heading2"/>
        <w:bidi w:val="0"/>
        <w:jc w:val="left"/>
        <w:rPr/>
      </w:pPr>
      <w:r>
        <w:rPr/>
        <w:t>Приложение В. Экраны интерактивного прототипа</w:t>
      </w:r>
    </w:p>
    <w:tbl>
      <w:tblPr>
        <w:tblW w:w="1157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635"/>
        <w:gridCol w:w="4944"/>
      </w:tblGrid>
      <w:tr>
        <w:trPr/>
        <w:tc>
          <w:tcPr>
            <w:tcW w:w="6635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Файл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19"/>
              <w:suppressLineNumbers/>
              <w:shd w:fill="EFEFEF" w:val="clear"/>
              <w:bidi w:val="0"/>
              <w:spacing w:before="0" w:after="160"/>
              <w:jc w:val="left"/>
              <w:rPr/>
            </w:pPr>
            <w:r>
              <w:rPr/>
              <w:t>Экран</w:t>
            </w:r>
          </w:p>
        </w:tc>
      </w:tr>
      <w:tr>
        <w:trPr/>
        <w:tc>
          <w:tcPr>
            <w:tcW w:w="663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prototype/screenshots/proto-1-вход.png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Вход, включая вход по отпечатку</w:t>
            </w:r>
          </w:p>
        </w:tc>
      </w:tr>
      <w:tr>
        <w:trPr/>
        <w:tc>
          <w:tcPr>
            <w:tcW w:w="663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prototype/screenshots/proto-2-лента.png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Лента «Специально для вас»</w:t>
            </w:r>
          </w:p>
        </w:tc>
      </w:tr>
      <w:tr>
        <w:trPr/>
        <w:tc>
          <w:tcPr>
            <w:tcW w:w="663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prototype/screenshots/proto-3-карточка.png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Карточка товара с описанием</w:t>
            </w:r>
          </w:p>
        </w:tc>
      </w:tr>
      <w:tr>
        <w:trPr/>
        <w:tc>
          <w:tcPr>
            <w:tcW w:w="663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prototype/screenshots/proto-4-ассистент.png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Ассистент по размеру</w:t>
            </w:r>
          </w:p>
        </w:tc>
      </w:tr>
      <w:tr>
        <w:trPr/>
        <w:tc>
          <w:tcPr>
            <w:tcW w:w="663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prototype/screenshots/proto-5-корзина.png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Корзина и выбор оплаты</w:t>
            </w:r>
          </w:p>
        </w:tc>
      </w:tr>
      <w:tr>
        <w:trPr/>
        <w:tc>
          <w:tcPr>
            <w:tcW w:w="6635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>
                <w:rStyle w:val="Style12"/>
              </w:rPr>
              <w:t>prototype/screenshots/proto-6-заказ.png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15"/>
              <w:bidi w:val="0"/>
              <w:spacing w:before="0" w:after="160"/>
              <w:jc w:val="left"/>
              <w:rPr/>
            </w:pPr>
            <w:r>
              <w:rPr/>
              <w:t>Подтверждение заказа</w:t>
            </w:r>
          </w:p>
        </w:tc>
      </w:tr>
    </w:tbl>
    <w:p>
      <w:pPr>
        <w:pStyle w:val="BodyText"/>
        <w:bidi w:val="0"/>
        <w:spacing w:before="0" w:after="160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auto"/>
    <w:pitch w:val="default"/>
  </w:font>
  <w:font w:name="Courier New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Times New Roman" w:cs="Times New Roman"/>
      <w:color w:val="auto"/>
      <w:sz w:val="28"/>
      <w:szCs w:val="28"/>
      <w:lang w:val="ru-RU" w:eastAsia="zh-CN" w:bidi="hi-IN"/>
    </w:rPr>
  </w:style>
  <w:style w:type="paragraph" w:styleId="Heading1">
    <w:name w:val="heading 1"/>
    <w:basedOn w:val="Style17"/>
    <w:next w:val="BodyText"/>
    <w:qFormat/>
    <w:pPr>
      <w:spacing w:before="480" w:after="240"/>
      <w:ind w:left="480" w:right="480"/>
      <w:jc w:val="center"/>
    </w:pPr>
    <w:rPr>
      <w:b/>
      <w:bCs/>
      <w:sz w:val="36"/>
      <w:szCs w:val="36"/>
    </w:rPr>
  </w:style>
  <w:style w:type="paragraph" w:styleId="Heading2">
    <w:name w:val="heading 2"/>
    <w:basedOn w:val="Style17"/>
    <w:next w:val="BodyText"/>
    <w:qFormat/>
    <w:pPr>
      <w:keepNext w:val="true"/>
      <w:pageBreakBefore/>
      <w:spacing w:before="400" w:after="200"/>
      <w:ind w:left="400" w:right="400"/>
      <w:jc w:val="left"/>
      <w:outlineLvl w:val="1"/>
    </w:pPr>
    <w:rPr>
      <w:rFonts w:ascii="Liberation Serif" w:hAnsi="Liberation Serif" w:eastAsia="Noto Serif CJK SC" w:cs="Noto Sans Devanagari"/>
      <w:b/>
      <w:bCs/>
      <w:sz w:val="32"/>
      <w:szCs w:val="32"/>
    </w:rPr>
  </w:style>
  <w:style w:type="paragraph" w:styleId="Heading3">
    <w:name w:val="heading 3"/>
    <w:basedOn w:val="Style17"/>
    <w:next w:val="BodyText"/>
    <w:qFormat/>
    <w:pPr>
      <w:keepNext w:val="true"/>
      <w:spacing w:before="320" w:after="160"/>
      <w:ind w:left="320" w:right="320"/>
      <w:jc w:val="left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Style17"/>
    <w:next w:val="BodyText"/>
    <w:qFormat/>
    <w:pPr>
      <w:keepNext w:val="true"/>
      <w:spacing w:before="240" w:after="120"/>
      <w:ind w:left="240" w:right="240"/>
      <w:outlineLvl w:val="3"/>
    </w:pPr>
    <w:rPr>
      <w:rFonts w:ascii="Liberation Serif" w:hAnsi="Liberation Serif" w:eastAsia="Noto Serif CJK SC" w:cs="Noto Sans Devanagari"/>
      <w:b/>
      <w:bCs/>
      <w:i/>
      <w:i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0">
    <w:name w:val="Символ концевой сноски"/>
    <w:qFormat/>
    <w:rPr/>
  </w:style>
  <w:style w:type="character" w:styleId="Style11">
    <w:name w:val="Символ сноски"/>
    <w:qFormat/>
    <w:rPr/>
  </w:style>
  <w:style w:type="character" w:styleId="Hyperlink">
    <w:name w:val="Hyperlink"/>
    <w:rPr>
      <w:color w:val="000080"/>
      <w:u w:val="single"/>
    </w:rPr>
  </w:style>
  <w:style w:type="character" w:styleId="Style12">
    <w:name w:val="Исходный текст"/>
    <w:qFormat/>
    <w:rPr>
      <w:rFonts w:ascii="Courier New" w:hAnsi="Courier New" w:eastAsia="Courier New" w:cs="Courier New"/>
      <w:sz w:val="22"/>
      <w:szCs w:val="22"/>
    </w:rPr>
  </w:style>
  <w:style w:type="character" w:styleId="Style13">
    <w:name w:val="Символ нумерации"/>
    <w:qFormat/>
    <w:rPr/>
  </w:style>
  <w:style w:type="paragraph" w:styleId="Style14">
    <w:name w:val="Горизонтальная линия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5">
    <w:name w:val="Содержимое таблицы"/>
    <w:basedOn w:val="BodyText"/>
    <w:qFormat/>
    <w:pPr>
      <w:jc w:val="left"/>
    </w:pPr>
    <w:rPr/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60"/>
      <w:ind w:firstLine="709"/>
    </w:pPr>
    <w:rPr/>
  </w:style>
  <w:style w:type="paragraph" w:styleId="Style17">
    <w:name w:val="Заголовок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2first">
    <w:name w:val="Заголовок 2.first"/>
    <w:basedOn w:val="Heading2"/>
    <w:qFormat/>
    <w:pPr>
      <w:pageBreakBefore w:val="false"/>
      <w:ind w:hanging="0" w:left="400"/>
      <w:outlineLvl w:val="9"/>
    </w:pPr>
    <w:rPr/>
  </w:style>
  <w:style w:type="paragraph" w:styleId="nb">
    <w:name w:val="Основной текст.nb"/>
    <w:basedOn w:val="BodyText"/>
    <w:qFormat/>
    <w:pPr/>
    <w:rPr/>
  </w:style>
  <w:style w:type="paragraph" w:styleId="cap">
    <w:name w:val="Основной текст.cap"/>
    <w:basedOn w:val="BodyText"/>
    <w:qFormat/>
    <w:pPr>
      <w:spacing w:before="240" w:after="80"/>
      <w:ind w:left="240" w:right="240"/>
    </w:pPr>
    <w:rPr>
      <w:b/>
      <w:bCs/>
    </w:rPr>
  </w:style>
  <w:style w:type="paragraph" w:styleId="Style18">
    <w:name w:val="Блочная цитата"/>
    <w:basedOn w:val="Normal"/>
    <w:qFormat/>
    <w:pPr>
      <w:spacing w:before="160" w:after="160"/>
      <w:ind w:hanging="0" w:left="709" w:right="160"/>
    </w:pPr>
    <w:rPr>
      <w:i/>
      <w:iCs/>
    </w:rPr>
  </w:style>
  <w:style w:type="paragraph" w:styleId="Style19">
    <w:name w:val="Заголовок таблицы"/>
    <w:basedOn w:val="Style15"/>
    <w:qFormat/>
    <w:pPr>
      <w:suppressLineNumbers/>
      <w:shd w:fill="EFEFE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LibreOffice_project/6673c99d96549ce65101be79fa29dd8a8e58eb52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