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c-top"/>
        <w:bidi w:val="0"/>
        <w:rPr/>
      </w:pPr>
      <w:r>
        <w:rPr/>
        <w:t>Белорусский государственный университет</w:t>
      </w:r>
    </w:p>
    <w:p>
      <w:pPr>
        <w:pStyle w:val="tc-top"/>
        <w:bidi w:val="0"/>
        <w:rPr/>
      </w:pPr>
      <w:r>
        <w:rPr/>
        <w:t>Факультет прикладной математики и информатики</w:t>
      </w:r>
    </w:p>
    <w:p>
      <w:pPr>
        <w:pStyle w:val="tc-top"/>
        <w:bidi w:val="0"/>
        <w:rPr/>
      </w:pPr>
      <w:r>
        <w:rPr/>
        <w:t>Кафедра технологий программирования</w:t>
      </w:r>
    </w:p>
    <w:p>
      <w:pPr>
        <w:pStyle w:val="tc-gap"/>
        <w:bidi w:val="0"/>
        <w:rPr/>
      </w:pPr>
      <w:r>
        <w:rPr/>
        <w:t> </w:t>
      </w:r>
    </w:p>
    <w:p>
      <w:pPr>
        <w:pStyle w:val="tc-gap"/>
        <w:bidi w:val="0"/>
        <w:rPr/>
      </w:pPr>
      <w:r>
        <w:rPr/>
        <w:t> </w:t>
      </w:r>
    </w:p>
    <w:p>
      <w:pPr>
        <w:pStyle w:val="tc"/>
        <w:bidi w:val="0"/>
        <w:rPr/>
      </w:pPr>
      <w:r>
        <w:rPr/>
        <w:t>Отчёт по лабораторной работе № 5</w:t>
      </w:r>
    </w:p>
    <w:p>
      <w:pPr>
        <w:pStyle w:val="tc"/>
        <w:bidi w:val="0"/>
        <w:rPr/>
      </w:pPr>
      <w:r>
        <w:rPr/>
        <w:t>по курсу «Проектирование человеко-машинных интерфейсов»</w:t>
      </w:r>
    </w:p>
    <w:p>
      <w:pPr>
        <w:pStyle w:val="tc-gap"/>
        <w:bidi w:val="0"/>
        <w:rPr/>
      </w:pPr>
      <w:r>
        <w:rPr/>
        <w:t> </w:t>
      </w:r>
    </w:p>
    <w:p>
      <w:pPr>
        <w:pStyle w:val="tc-title"/>
        <w:bidi w:val="0"/>
        <w:rPr/>
      </w:pPr>
      <w:r>
        <w:rPr/>
        <w:t>Проектирование прототипа приложения</w:t>
      </w:r>
    </w:p>
    <w:p>
      <w:pPr>
        <w:pStyle w:val="tc-gap"/>
        <w:bidi w:val="0"/>
        <w:rPr/>
      </w:pPr>
      <w:r>
        <w:rPr/>
        <w:t> </w:t>
      </w:r>
    </w:p>
    <w:p>
      <w:pPr>
        <w:pStyle w:val="tc-sub"/>
        <w:bidi w:val="0"/>
        <w:rPr/>
      </w:pPr>
      <w:r>
        <w:rPr/>
        <w:t>Тема проекта: МаркетШоп.by — сервис автоматической генерации описаний товаров в рекомендательной системе маркетплейса одежды и обуви (Республика Беларусь)</w:t>
      </w:r>
    </w:p>
    <w:p>
      <w:pPr>
        <w:pStyle w:val="tc-gap"/>
        <w:bidi w:val="0"/>
        <w:rPr/>
      </w:pPr>
      <w:r>
        <w:rPr/>
        <w:t> </w:t>
      </w:r>
    </w:p>
    <w:p>
      <w:pPr>
        <w:pStyle w:val="tc-gap"/>
        <w:bidi w:val="0"/>
        <w:rPr/>
      </w:pPr>
      <w:r>
        <w:rPr/>
        <w:t> </w:t>
      </w:r>
    </w:p>
    <w:p>
      <w:pPr>
        <w:pStyle w:val="tc-right"/>
        <w:bidi w:val="0"/>
        <w:jc w:val="right"/>
        <w:rPr/>
      </w:pPr>
      <w:r>
        <w:rPr/>
        <w:t>Выполнили: студенты 4 курса, группа 10</w:t>
      </w:r>
    </w:p>
    <w:p>
      <w:pPr>
        <w:pStyle w:val="tc-right"/>
        <w:bidi w:val="0"/>
        <w:jc w:val="right"/>
        <w:rPr/>
      </w:pPr>
      <w:r>
        <w:rPr/>
        <w:t>Харченко Анастасия</w:t>
      </w:r>
    </w:p>
    <w:p>
      <w:pPr>
        <w:pStyle w:val="tc-right"/>
        <w:bidi w:val="0"/>
        <w:jc w:val="right"/>
        <w:rPr/>
      </w:pPr>
      <w:r>
        <w:rPr/>
        <w:t>Шепко Варвара</w:t>
      </w:r>
    </w:p>
    <w:p>
      <w:pPr>
        <w:pStyle w:val="tc-right"/>
        <w:bidi w:val="0"/>
        <w:jc w:val="right"/>
        <w:rPr/>
      </w:pPr>
      <w:r>
        <w:rPr/>
        <w:t>Степук Анастасия</w:t>
      </w:r>
    </w:p>
    <w:p>
      <w:pPr>
        <w:pStyle w:val="tc-gap"/>
        <w:bidi w:val="0"/>
        <w:rPr/>
      </w:pPr>
      <w:r>
        <w:rPr/>
        <w:t> </w:t>
      </w:r>
    </w:p>
    <w:p>
      <w:pPr>
        <w:pStyle w:val="tc-right"/>
        <w:bidi w:val="0"/>
        <w:jc w:val="right"/>
        <w:rPr/>
      </w:pPr>
      <w:r>
        <w:rPr/>
        <w:t>Проверила: старший преподаватель кафедры ТП</w:t>
      </w:r>
    </w:p>
    <w:p>
      <w:pPr>
        <w:pStyle w:val="tc-right"/>
        <w:bidi w:val="0"/>
        <w:jc w:val="right"/>
        <w:rPr/>
      </w:pPr>
      <w:r>
        <w:rPr/>
        <w:t>Давидовская М. И.</w:t>
      </w:r>
    </w:p>
    <w:p>
      <w:pPr>
        <w:pStyle w:val="tc-gap"/>
        <w:bidi w:val="0"/>
        <w:rPr/>
      </w:pPr>
      <w:r>
        <w:rPr/>
        <w:t> </w:t>
      </w:r>
    </w:p>
    <w:p>
      <w:pPr>
        <w:pStyle w:val="tc-gap"/>
        <w:bidi w:val="0"/>
        <w:rPr/>
      </w:pPr>
      <w:r>
        <w:rPr/>
        <w:t> </w:t>
      </w:r>
    </w:p>
    <w:p>
      <w:pPr>
        <w:pStyle w:val="tc"/>
        <w:bidi w:val="0"/>
        <w:rPr/>
      </w:pPr>
      <w:r>
        <w:rPr/>
        <w:t>Минск, 2026</w:t>
      </w:r>
    </w:p>
    <w:p>
      <w:pPr>
        <w:pStyle w:val="BodyText"/>
        <w:bidi w:val="0"/>
        <w:ind w:hanging="0" w:left="0" w:right="0"/>
        <w:rPr/>
      </w:pPr>
      <w:r>
        <w:rPr/>
        <w:t> </w:t>
      </w:r>
      <w:r>
        <w:br w:type="page"/>
      </w:r>
    </w:p>
    <w:p>
      <w:pPr>
        <w:pStyle w:val="tc-title"/>
        <w:bidi w:val="0"/>
        <w:ind w:hanging="0" w:left="0" w:right="0"/>
        <w:rPr>
          <w:sz w:val="32"/>
        </w:rPr>
      </w:pPr>
      <w:r>
        <w:rPr>
          <w:sz w:val="32"/>
        </w:rPr>
        <w:t>Содержание</w:t>
      </w:r>
    </w:p>
    <w:p>
      <w:pPr>
        <w:pStyle w:val="toc"/>
        <w:bidi w:val="0"/>
        <w:jc w:val="left"/>
        <w:rPr/>
      </w:pPr>
      <w:r>
        <w:rPr/>
        <w:t>Введение .......................................................... 3</w:t>
      </w:r>
    </w:p>
    <w:p>
      <w:pPr>
        <w:pStyle w:val="toc"/>
        <w:bidi w:val="0"/>
        <w:jc w:val="left"/>
        <w:rPr/>
      </w:pPr>
      <w:r>
        <w:rPr/>
        <w:t>1 Исследование визуального языка .................................. 4</w:t>
      </w:r>
    </w:p>
    <w:p>
      <w:pPr>
        <w:pStyle w:val="toc-2"/>
        <w:bidi w:val="0"/>
        <w:jc w:val="left"/>
        <w:rPr/>
      </w:pPr>
      <w:r>
        <w:rPr/>
        <w:t>1.1 Анализ шаблонов и решений ................................. 4</w:t>
      </w:r>
    </w:p>
    <w:p>
      <w:pPr>
        <w:pStyle w:val="toc-2"/>
        <w:bidi w:val="0"/>
        <w:jc w:val="left"/>
        <w:rPr/>
      </w:pPr>
      <w:r>
        <w:rPr/>
        <w:t>1.2 Методика тестирования визуального дизайна ................. 6</w:t>
      </w:r>
    </w:p>
    <w:p>
      <w:pPr>
        <w:pStyle w:val="toc-2"/>
        <w:bidi w:val="0"/>
        <w:jc w:val="left"/>
        <w:rPr/>
      </w:pPr>
      <w:r>
        <w:rPr/>
        <w:t>1.3 Пары прилагательных и целевой профиль ..................... 6</w:t>
      </w:r>
    </w:p>
    <w:p>
      <w:pPr>
        <w:pStyle w:val="toc-2"/>
        <w:bidi w:val="0"/>
        <w:jc w:val="left"/>
        <w:rPr/>
      </w:pPr>
      <w:r>
        <w:rPr/>
        <w:t>1.4 Цветовые схемы ............................................ 8</w:t>
      </w:r>
    </w:p>
    <w:p>
      <w:pPr>
        <w:pStyle w:val="toc-2"/>
        <w:bidi w:val="0"/>
        <w:jc w:val="left"/>
        <w:rPr/>
      </w:pPr>
      <w:r>
        <w:rPr/>
        <w:t>1.5 Дизайн-макеты вариантов ................................... 11</w:t>
      </w:r>
    </w:p>
    <w:p>
      <w:pPr>
        <w:pStyle w:val="toc-2"/>
        <w:bidi w:val="0"/>
        <w:jc w:val="left"/>
        <w:rPr/>
      </w:pPr>
      <w:r>
        <w:rPr/>
        <w:t>1.6 Организация и проведение теста ............................ 18</w:t>
      </w:r>
    </w:p>
    <w:p>
      <w:pPr>
        <w:pStyle w:val="toc-2"/>
        <w:bidi w:val="0"/>
        <w:jc w:val="left"/>
        <w:rPr/>
      </w:pPr>
      <w:r>
        <w:rPr/>
        <w:t>1.7 Обработка результатов ..................................... 18</w:t>
      </w:r>
    </w:p>
    <w:p>
      <w:pPr>
        <w:pStyle w:val="toc"/>
        <w:bidi w:val="0"/>
        <w:jc w:val="left"/>
        <w:rPr/>
      </w:pPr>
      <w:r>
        <w:rPr/>
        <w:t>2 Проектирование прототипа пользовательского интерфейса ........... 24</w:t>
      </w:r>
    </w:p>
    <w:p>
      <w:pPr>
        <w:pStyle w:val="toc-2"/>
        <w:bidi w:val="0"/>
        <w:jc w:val="left"/>
        <w:rPr/>
      </w:pPr>
      <w:r>
        <w:rPr/>
        <w:t>2.1 Модульная сетка ........................................... 24</w:t>
      </w:r>
    </w:p>
    <w:p>
      <w:pPr>
        <w:pStyle w:val="toc-2"/>
        <w:bidi w:val="0"/>
        <w:jc w:val="left"/>
        <w:rPr/>
      </w:pPr>
      <w:r>
        <w:rPr/>
        <w:t>2.2 Адаптивные макеты веб-страницы ............................ 25</w:t>
      </w:r>
    </w:p>
    <w:p>
      <w:pPr>
        <w:pStyle w:val="toc-2"/>
        <w:bidi w:val="0"/>
        <w:jc w:val="left"/>
        <w:rPr/>
      </w:pPr>
      <w:r>
        <w:rPr/>
        <w:t>2.3 Макеты экрана мобильного приложения для пяти устройств .... 28</w:t>
      </w:r>
    </w:p>
    <w:p>
      <w:pPr>
        <w:pStyle w:val="toc-2"/>
        <w:bidi w:val="0"/>
        <w:jc w:val="left"/>
        <w:rPr/>
      </w:pPr>
      <w:r>
        <w:rPr/>
        <w:t>2.4 Интерактивный прототип .................................... 31</w:t>
      </w:r>
    </w:p>
    <w:p>
      <w:pPr>
        <w:pStyle w:val="toc"/>
        <w:bidi w:val="0"/>
        <w:jc w:val="left"/>
        <w:rPr/>
      </w:pPr>
      <w:r>
        <w:rPr/>
        <w:t>3 Руководства по стилям ........................................... 36</w:t>
      </w:r>
    </w:p>
    <w:p>
      <w:pPr>
        <w:pStyle w:val="toc-2"/>
        <w:bidi w:val="0"/>
        <w:jc w:val="left"/>
        <w:rPr/>
      </w:pPr>
      <w:r>
        <w:rPr/>
        <w:t>3.1 Трассируемость в код ...................................... 39</w:t>
      </w:r>
    </w:p>
    <w:p>
      <w:pPr>
        <w:pStyle w:val="toc"/>
        <w:bidi w:val="0"/>
        <w:jc w:val="left"/>
        <w:rPr/>
      </w:pPr>
      <w:r>
        <w:rPr/>
        <w:t>4 Планирование этапа концептуального проектирования ............... 40</w:t>
      </w:r>
    </w:p>
    <w:p>
      <w:pPr>
        <w:pStyle w:val="toc"/>
        <w:bidi w:val="0"/>
        <w:jc w:val="left"/>
        <w:rPr/>
      </w:pPr>
      <w:r>
        <w:rPr/>
        <w:t>Выходные документы ................................................ 42</w:t>
      </w:r>
    </w:p>
    <w:p>
      <w:pPr>
        <w:pStyle w:val="toc"/>
        <w:bidi w:val="0"/>
        <w:jc w:val="left"/>
        <w:rPr/>
      </w:pPr>
      <w:r>
        <w:rPr/>
        <w:t>Заключение ........................................................ 43</w:t>
      </w:r>
    </w:p>
    <w:p>
      <w:pPr>
        <w:pStyle w:val="toc"/>
        <w:bidi w:val="0"/>
        <w:jc w:val="left"/>
        <w:rPr/>
      </w:pPr>
      <w:r>
        <w:rPr/>
        <w:t>Список использованных источников .................................. 44</w:t>
      </w:r>
    </w:p>
    <w:p>
      <w:pPr>
        <w:pStyle w:val="toc"/>
        <w:bidi w:val="0"/>
        <w:jc w:val="left"/>
        <w:rPr/>
      </w:pPr>
      <w:r>
        <w:rPr/>
        <w:t>Приложение А. Диаграммы-профили ................................... 45</w:t>
      </w:r>
    </w:p>
    <w:p>
      <w:pPr>
        <w:pStyle w:val="toc"/>
        <w:bidi w:val="0"/>
        <w:jc w:val="left"/>
        <w:rPr/>
      </w:pPr>
      <w:r>
        <w:rPr/>
        <w:t>Приложение Б. Состав файлов и порядок сборки ...................... 46</w:t>
      </w:r>
    </w:p>
    <w:p>
      <w:pPr>
        <w:pStyle w:val="toc"/>
        <w:bidi w:val="0"/>
        <w:jc w:val="left"/>
        <w:rPr/>
      </w:pPr>
      <w:r>
        <w:rPr/>
        <w:t>Приложение В. Экраны интерактивного прототипа ..................... 47</w:t>
      </w:r>
    </w:p>
    <w:p>
      <w:pPr>
        <w:pStyle w:val="BodyText"/>
        <w:bidi w:val="0"/>
        <w:ind w:hanging="0" w:left="0" w:right="0"/>
        <w:rPr/>
      </w:pPr>
      <w:r>
        <w:rPr/>
        <w:t> </w:t>
      </w:r>
      <w:r>
        <w:br w:type="page"/>
      </w:r>
    </w:p>
    <w:p>
      <w:pPr>
        <w:pStyle w:val="2first"/>
        <w:bidi w:val="0"/>
        <w:jc w:val="left"/>
        <w:rPr/>
      </w:pPr>
      <w:r>
        <w:rPr/>
        <w:t>Введение</w:t>
      </w:r>
    </w:p>
    <w:p>
      <w:pPr>
        <w:pStyle w:val="BodyText"/>
        <w:bidi w:val="0"/>
        <w:rPr/>
      </w:pPr>
      <w:r>
        <w:rPr/>
        <w:t>Работа продолжает проект МаркетШоп.by из ЛР № 1 — ЛР № 4. В ЛР № 2 была разработана информационная архитектура и предложена цветовая концепция, в ЛР № 3 — требования и модели предметной области, в ЛР № 4 — физическая модель базы данных, REST API и MCP-сервер. В настоящей работе исследован визуальный язык продукта, разработаны адаптивные макеты и руководства по стилям для веб- и мобильного приложения.</w:t>
      </w:r>
    </w:p>
    <w:p>
      <w:pPr>
        <w:pStyle w:val="BodyText"/>
        <w:bidi w:val="0"/>
        <w:rPr/>
      </w:pPr>
      <w:r>
        <w:rPr/>
        <w:t xml:space="preserve">Ключевой результат работы: </w:t>
      </w:r>
      <w:r>
        <w:rPr>
          <w:b/>
        </w:rPr>
        <w:t>цветовая концепция, предложенная в ЛР № 2 «на глаз», проверена эмпирически и по итогам теста заменена.</w:t>
      </w:r>
      <w:r>
        <w:rPr/>
        <w:t xml:space="preserve"> Это соответствует принятой в проекте практике — в ЛР № 2 по результатам опроса были переработаны пять разделов ЛР № 1.</w:t>
      </w:r>
    </w:p>
    <w:p>
      <w:pPr>
        <w:pStyle w:val="BodyText"/>
        <w:bidi w:val="0"/>
        <w:rPr/>
      </w:pPr>
      <w:r>
        <w:rPr/>
        <w:t xml:space="preserve">Все артефакты собираются скриптами из трёх источников — </w:t>
      </w:r>
      <w:r>
        <w:rPr>
          <w:rStyle w:val="Style10"/>
        </w:rPr>
        <w:t>design/tokens.json</w:t>
      </w:r>
      <w:r>
        <w:rPr/>
        <w:t xml:space="preserve">, </w:t>
      </w:r>
      <w:r>
        <w:rPr>
          <w:rStyle w:val="Style10"/>
        </w:rPr>
        <w:t>research/adjectives.csv</w:t>
      </w:r>
      <w:r>
        <w:rPr/>
        <w:t xml:space="preserve"> и </w:t>
      </w:r>
      <w:r>
        <w:rPr>
          <w:rStyle w:val="Style10"/>
        </w:rPr>
        <w:t>research/raw.csv</w:t>
      </w:r>
      <w:r>
        <w:rPr/>
        <w:t>. Макеты, руководства по стилям, отчёт о контрасте и настоящий отчёт не набирались вручную, поэтому не могут разойтись между собой.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36"/>
        <w:gridCol w:w="4087"/>
        <w:gridCol w:w="2852"/>
      </w:tblGrid>
      <w:tr>
        <w:trPr/>
        <w:tc>
          <w:tcPr>
            <w:tcW w:w="2136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Задание</w:t>
            </w:r>
          </w:p>
        </w:tc>
        <w:tc>
          <w:tcPr>
            <w:tcW w:w="408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Результат</w:t>
            </w:r>
          </w:p>
        </w:tc>
        <w:tc>
          <w:tcPr>
            <w:tcW w:w="2852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Файлы</w:t>
            </w:r>
          </w:p>
        </w:tc>
      </w:tr>
      <w:tr>
        <w:trPr/>
        <w:tc>
          <w:tcPr>
            <w:tcW w:w="21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1. Исследование визуального языка</w:t>
            </w:r>
          </w:p>
        </w:tc>
        <w:tc>
          <w:tcPr>
            <w:tcW w:w="408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15 пар прилагательных с целевым профилем, 3 цветовых варианта, тест с 11 респондентами, 4 диаграммы-профиля</w:t>
            </w:r>
          </w:p>
        </w:tc>
        <w:tc>
          <w:tcPr>
            <w:tcW w:w="285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research/</w:t>
            </w:r>
            <w:r>
              <w:rPr/>
              <w:t xml:space="preserve">, </w:t>
            </w:r>
            <w:r>
              <w:rPr>
                <w:rStyle w:val="Style10"/>
              </w:rPr>
              <w:t>mockups/visual-language.html</w:t>
            </w:r>
          </w:p>
        </w:tc>
      </w:tr>
      <w:tr>
        <w:trPr/>
        <w:tc>
          <w:tcPr>
            <w:tcW w:w="21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2. Адаптивные макеты и прототип</w:t>
            </w:r>
          </w:p>
        </w:tc>
        <w:tc>
          <w:tcPr>
            <w:tcW w:w="408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 разрешений веб-страницы, 5 устройств, отзывчивая разметка с медиазапросами, ТЗ на интерактивный прототип</w:t>
            </w:r>
          </w:p>
        </w:tc>
        <w:tc>
          <w:tcPr>
            <w:tcW w:w="285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mockups/</w:t>
            </w:r>
            <w:r>
              <w:rPr/>
              <w:t xml:space="preserve">, </w:t>
            </w:r>
            <w:r>
              <w:rPr>
                <w:rStyle w:val="Style10"/>
              </w:rPr>
              <w:t>prototype/</w:t>
            </w:r>
          </w:p>
        </w:tc>
      </w:tr>
      <w:tr>
        <w:trPr/>
        <w:tc>
          <w:tcPr>
            <w:tcW w:w="21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 Руководства по стилям</w:t>
            </w:r>
          </w:p>
        </w:tc>
        <w:tc>
          <w:tcPr>
            <w:tcW w:w="408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 руководства, 33 раздела, 21 компонент, проверка контраста по WCAG 2.1</w:t>
            </w:r>
          </w:p>
        </w:tc>
        <w:tc>
          <w:tcPr>
            <w:tcW w:w="285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style-guide/</w:t>
            </w:r>
            <w:r>
              <w:rPr/>
              <w:t xml:space="preserve">, </w:t>
            </w:r>
            <w:r>
              <w:rPr>
                <w:rStyle w:val="Style10"/>
              </w:rPr>
              <w:t>design/</w:t>
            </w:r>
          </w:p>
        </w:tc>
      </w:tr>
    </w:tbl>
    <w:p>
      <w:pPr>
        <w:pStyle w:val="Heading2"/>
        <w:bidi w:val="0"/>
        <w:jc w:val="left"/>
        <w:rPr/>
      </w:pPr>
      <w:r>
        <w:rPr/>
        <w:t>1 Исследование визуального языка</w:t>
      </w:r>
    </w:p>
    <w:p>
      <w:pPr>
        <w:pStyle w:val="Heading3"/>
        <w:bidi w:val="0"/>
        <w:jc w:val="left"/>
        <w:rPr/>
      </w:pPr>
      <w:r>
        <w:rPr/>
        <w:t>1.1 Анализ шаблонов и решений</w:t>
      </w:r>
    </w:p>
    <w:p>
      <w:pPr>
        <w:pStyle w:val="BodyText"/>
        <w:bidi w:val="0"/>
        <w:rPr/>
      </w:pPr>
      <w:r>
        <w:rPr/>
        <w:t>Исследование начато с изучения существующих решений. Рассмотрены товарные страницы и карточки товара на Dribbble и CodePen, обзор элементов интерфейса Usability.gov, материал UXPin о применении шаблонов проектирования и исследование Smashing Magazine о навигационных категориях в электронной коммерции.</w:t>
      </w:r>
    </w:p>
    <w:p>
      <w:pPr>
        <w:pStyle w:val="BodyText"/>
        <w:bidi w:val="0"/>
        <w:rPr/>
      </w:pPr>
      <w:r>
        <w:rPr/>
        <w:t>Отбор вёлся не по внешней привлекательности, а по пригодности для задач проекта. Каждое решение проверялось на совместимость с информационной архитектурой ЛР № 2 и критериями приёмки ЛР № 3: если шаблон противоречил уже принятому требованию, он отклонялся независимо от того, насколько распространён.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27"/>
        <w:gridCol w:w="1720"/>
        <w:gridCol w:w="1821"/>
        <w:gridCol w:w="3507"/>
      </w:tblGrid>
      <w:tr>
        <w:trPr/>
        <w:tc>
          <w:tcPr>
            <w:tcW w:w="202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Паттерн</w:t>
            </w:r>
          </w:p>
        </w:tc>
        <w:tc>
          <w:tcPr>
            <w:tcW w:w="172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Источник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Решение</w:t>
            </w:r>
          </w:p>
        </w:tc>
        <w:tc>
          <w:tcPr>
            <w:tcW w:w="350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Закреплённая панель покупки</w:t>
            </w:r>
          </w:p>
        </w:tc>
        <w:tc>
          <w:tcPr>
            <w:tcW w:w="172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Dribbble, товарные страницы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принят частично</w:t>
            </w:r>
          </w:p>
        </w:tc>
        <w:tc>
          <w:tcPr>
            <w:tcW w:w="350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решение распространено, но AC-02.1 требует размещать описание выше кнопки «В корзину»; при закреплённой панели кнопка видна всегда и требование теряет смысл, поэтому кнопка размещена в потоке документа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Фасетные фильтры в боковой панели</w:t>
            </w:r>
          </w:p>
        </w:tc>
        <w:tc>
          <w:tcPr>
            <w:tcW w:w="172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Smashing Magazine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принят</w:t>
            </w:r>
          </w:p>
        </w:tc>
        <w:tc>
          <w:tcPr>
            <w:tcW w:w="350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соответствует системе поиска ЛР № 2, п. 2.4: фильтрация по размеру, цене, бренду и признаку «Сделано в Беларуси»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Мегаменю категорий</w:t>
            </w:r>
          </w:p>
        </w:tc>
        <w:tc>
          <w:tcPr>
            <w:tcW w:w="172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Dribbble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отклонён</w:t>
            </w:r>
          </w:p>
        </w:tc>
        <w:tc>
          <w:tcPr>
            <w:tcW w:w="350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ЛР № 2 ограничивает число навигационных связей функционального блока тремя; мегаменю нарушает это ограничение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Карточка с кратким описанием</w:t>
            </w:r>
          </w:p>
        </w:tc>
        <w:tc>
          <w:tcPr>
            <w:tcW w:w="172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CodePen, product cart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принят</w:t>
            </w:r>
          </w:p>
        </w:tc>
        <w:tc>
          <w:tcPr>
            <w:tcW w:w="350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прямо реализует AC-01.2: в карточке ленты выводится summary не длиннее 90 символов, сформированный из того же черновика, что и полное описание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Бейдж происхождения товара</w:t>
            </w:r>
          </w:p>
        </w:tc>
        <w:tc>
          <w:tcPr>
            <w:tcW w:w="172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Usability.gov, UI patterns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принят</w:t>
            </w:r>
          </w:p>
        </w:tc>
        <w:tc>
          <w:tcPr>
            <w:tcW w:w="350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закрывает US-13: фильтр и отметка «Сделано в Беларуси» как инструмент поддержки локальных брендов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Аккордеон характеристик</w:t>
            </w:r>
          </w:p>
        </w:tc>
        <w:tc>
          <w:tcPr>
            <w:tcW w:w="172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UXPin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отклонён</w:t>
            </w:r>
          </w:p>
        </w:tc>
        <w:tc>
          <w:tcPr>
            <w:tcW w:w="350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AC-02.2 требует, чтобы все четыре подблока описания — состав, посадка, уход, размерная сетка — были видны без дополнительного действия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Подбор размера по меркам</w:t>
            </w:r>
          </w:p>
        </w:tc>
        <w:tc>
          <w:tcPr>
            <w:tcW w:w="172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Dribbble, fashion e-commerce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принят</w:t>
            </w:r>
          </w:p>
        </w:tc>
        <w:tc>
          <w:tcPr>
            <w:tcW w:w="350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US-03 и US-04: рекомендация размера с пояснением о посадке, ввод параметров без ухода в профиль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Индикатор доверия к описанию</w:t>
            </w:r>
          </w:p>
        </w:tc>
        <w:tc>
          <w:tcPr>
            <w:tcW w:w="172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собственное решение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принят с ограничением</w:t>
            </w:r>
          </w:p>
        </w:tc>
        <w:tc>
          <w:tcPr>
            <w:tcW w:w="350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уровень уверенности генератора показывается продавцу и модератору, но скрыт от покупателя (ОГР-2)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1.2 Методика тестирования визуального дизайна</w:t>
      </w:r>
    </w:p>
    <w:p>
      <w:pPr>
        <w:pStyle w:val="BodyText"/>
        <w:bidi w:val="0"/>
        <w:rPr/>
      </w:pPr>
      <w:r>
        <w:rPr/>
        <w:t>Рассмотрены три подхода к оценке визуального дизайна.</w:t>
      </w:r>
    </w:p>
    <w:p>
      <w:pPr>
        <w:pStyle w:val="BodyText"/>
        <w:bidi w:val="0"/>
        <w:rPr/>
      </w:pPr>
      <w:r>
        <w:rPr/>
        <w:t xml:space="preserve">Основным выбран </w:t>
      </w:r>
      <w:r>
        <w:rPr>
          <w:b/>
        </w:rPr>
        <w:t>семантический дифференциал</w:t>
      </w:r>
      <w:r>
        <w:rPr/>
        <w:t>. Методические указания прямо требуют шкал по парам прилагательных, расчёта средних и построения диаграммы-профиля. Существеннее другое: метод позволяет заранее объявить, каким продукт должен восприниматься, и затем проверить гипотезу, а не подбирать объяснение под полученный результат.</w:t>
      </w:r>
    </w:p>
    <w:p>
      <w:pPr>
        <w:pStyle w:val="BodyText"/>
        <w:bidi w:val="0"/>
        <w:rPr/>
      </w:pPr>
      <w:r>
        <w:rPr/>
        <w:t>Метод предпочтительного выбора применён дополнительно: последним вопросом анкеты респондент указывает вариант, который выбрал бы сам. Этот ответ не влияет на расчёт и служит проверкой — совпадает ли прямое предпочтение с результатом по шкалам.</w:t>
      </w:r>
    </w:p>
    <w:p>
      <w:pPr>
        <w:pStyle w:val="Heading3"/>
        <w:bidi w:val="0"/>
        <w:jc w:val="left"/>
        <w:rPr/>
      </w:pPr>
      <w:r>
        <w:rPr/>
        <w:t>1.3 Пары прилагательных и целевой профиль</w:t>
      </w:r>
    </w:p>
    <w:p>
      <w:pPr>
        <w:pStyle w:val="BodyText"/>
        <w:bidi w:val="0"/>
        <w:rPr/>
      </w:pPr>
      <w:r>
        <w:rPr/>
        <w:t>Семь пар из методических указаний сохранены и дополнены до пятнадцати. Каждая пара обоснована данными ЛР № 1 — ЛР № 4; оценивается по шкале 1–5, где 5 соответствует левому полюсу.</w:t>
      </w:r>
    </w:p>
    <w:p>
      <w:pPr>
        <w:pStyle w:val="BodyText"/>
        <w:bidi w:val="0"/>
        <w:rPr/>
      </w:pPr>
      <w:r>
        <w:rPr/>
        <w:t>Для пяти пар целевое значение намеренно не крайнее. Парам «Честный — Лживый» и «Надёжный — Ненадёжный» присвоен двойной вес: они закрывают барьеры, подтверждённые опросом ЛР № 1 (несоответствие описания реальности — 60,9 %, сложности с возвратом — 39,1 %).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93"/>
        <w:gridCol w:w="2503"/>
        <w:gridCol w:w="830"/>
        <w:gridCol w:w="778"/>
        <w:gridCol w:w="4171"/>
      </w:tblGrid>
      <w:tr>
        <w:trPr/>
        <w:tc>
          <w:tcPr>
            <w:tcW w:w="79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№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Пара (5 — 1)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Цель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Вес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P01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Добрый — Злой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тон интерфейса: польза простым языком, без маркетингового давления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P02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Современный — Классический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образ технологичной площадки, но ядро ЦА включает 35–55 лет (32,6%) — крайняя новизна отталкивает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P03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Молодой — Старый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3.5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ЦА 18–55: 25–34 — 39,1%, 18–24 — 28,3%, 35–44 — 21,7%, 45+ — 10,9%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P04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Безопасный — Опасный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5.0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оплата картой онлайн 69,6%; недоверие к продавцу — барьер 19,6%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P05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Красивый — Некрасивый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нейтральный фон и белые карточки — ради акцента на фотографиях товара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P06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Интересный — Скучный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монопольный интерфейс, сессии 15–20 мин: не должен отвлекать от выбора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P07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Полезный — Бесполезный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5.0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средняя важность достоверного описания 4,33/5, оценок «1» нет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P08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Честный — Лживый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5.0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×2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60,9% сталкивались с несоответствием описания реальности; запрет неподтверждённых заявлений о качестве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P09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Надёжный — Ненадёжный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5.0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×2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сложности с возвратом/обменом — барьер №1 (39,1%)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P10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Простой — Сложный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Ольга Петровна, 48: низкий/средний уровень владения приложениями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P11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Понятный — Запутанный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5.0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термины генерации (NLP, LLM, «ИИ-описание») отсутствуют в покупательском контуре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P12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Спокойный — Раздражающий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58,7% заходят вечером 19:00–23:00; требуется тёмная тема и низкая визуальная агрессия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P13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Профессиональный — Любительский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привлечь малые белорусские бренды: их карточки должны выглядеть солидно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P14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Дорогой — Дешёвый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3.5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«качественная одежда по адекватной цене»: не люкс и не дискаунтер</w:t>
            </w:r>
          </w:p>
        </w:tc>
      </w:tr>
      <w:tr>
        <w:trPr/>
        <w:tc>
          <w:tcPr>
            <w:tcW w:w="79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P15</w:t>
            </w:r>
          </w:p>
        </w:tc>
        <w:tc>
          <w:tcPr>
            <w:tcW w:w="25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Технологичный — Устаревший</w:t>
            </w:r>
          </w:p>
        </w:tc>
        <w:tc>
          <w:tcPr>
            <w:tcW w:w="83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</w:t>
            </w:r>
          </w:p>
        </w:tc>
        <w:tc>
          <w:tcPr>
            <w:tcW w:w="77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4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бизнес-задача: образ технологичной площадки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1.4 Цветовые схемы</w:t>
      </w:r>
    </w:p>
    <w:p>
      <w:pPr>
        <w:pStyle w:val="BodyText"/>
        <w:bidi w:val="0"/>
        <w:rPr/>
      </w:pPr>
      <w:r>
        <w:rPr/>
        <w:t>Подготовлены три цветовых решения. Вариант A воспроизводит концепцию ЛР № 2 и служит контрольным: именно его предстояло проверить. Варианты B и C сгенерированы в paletton.com — триада и аналоговая схема соответственно; оттенки и тона подобраны в colorhexa.com.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5"/>
        <w:gridCol w:w="2069"/>
        <w:gridCol w:w="4811"/>
      </w:tblGrid>
      <w:tr>
        <w:trPr/>
        <w:tc>
          <w:tcPr>
            <w:tcW w:w="2195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Вариант</w:t>
            </w:r>
          </w:p>
        </w:tc>
        <w:tc>
          <w:tcPr>
            <w:tcW w:w="2069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Схема</w:t>
            </w:r>
          </w:p>
        </w:tc>
        <w:tc>
          <w:tcPr>
            <w:tcW w:w="481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Замысел и проверяемая гипотеза</w:t>
            </w:r>
          </w:p>
        </w:tc>
      </w:tr>
      <w:tr>
        <w:trPr/>
        <w:tc>
          <w:tcPr>
            <w:tcW w:w="21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 «Доверие»</w:t>
            </w:r>
          </w:p>
        </w:tc>
        <w:tc>
          <w:tcPr>
            <w:tcW w:w="206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ЛР № 2, контрольный</w:t>
            </w:r>
          </w:p>
        </w:tc>
        <w:tc>
          <w:tcPr>
            <w:tcW w:w="48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тёмно-синий как цвет шапки и тёплый оранжевый как цвет действия. Концепция принята в ЛР № 2 исходя из общих соображений, без проверки на пользователях</w:t>
            </w:r>
          </w:p>
        </w:tc>
      </w:tr>
      <w:tr>
        <w:trPr/>
        <w:tc>
          <w:tcPr>
            <w:tcW w:w="21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 «Технологичный»</w:t>
            </w:r>
          </w:p>
        </w:tc>
        <w:tc>
          <w:tcPr>
            <w:tcW w:w="206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триада: графит, индиго, бирюзовый</w:t>
            </w:r>
          </w:p>
        </w:tc>
        <w:tc>
          <w:tcPr>
            <w:tcW w:w="48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проверяет бизнес-задачу ЛР № 1, п. 13.4 — сформировать образ технологичной площадки. Холодная гамма, характерная для продуктовых и финансовых сервисов</w:t>
            </w:r>
          </w:p>
        </w:tc>
      </w:tr>
      <w:tr>
        <w:trPr/>
        <w:tc>
          <w:tcPr>
            <w:tcW w:w="21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C «Тёплый локальный»</w:t>
            </w:r>
          </w:p>
        </w:tc>
        <w:tc>
          <w:tcPr>
            <w:tcW w:w="206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аналоговая: терракота и олива на кремовом</w:t>
            </w:r>
          </w:p>
        </w:tc>
        <w:tc>
          <w:tcPr>
            <w:tcW w:w="48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отсылка к идентичности малых белорусских брендов — основной аудитории продавцов по ЛР № 1. Тёплая, приглушённая гамма</w:t>
            </w:r>
          </w:p>
        </w:tc>
      </w:tr>
    </w:tbl>
    <w:p>
      <w:pPr>
        <w:pStyle w:val="BodyText"/>
        <w:bidi w:val="0"/>
        <w:rPr/>
      </w:pPr>
      <w:r>
        <w:rPr/>
        <w:t xml:space="preserve">Принципиальное условие: </w:t>
      </w:r>
      <w:r>
        <w:rPr>
          <w:b/>
        </w:rPr>
        <w:t>набор имён токенов во всех трёх вариантах идентичен</w:t>
      </w:r>
      <w:r>
        <w:rPr/>
        <w:t>, различаются только значения. Благодаря этому макеты собираются из одной разметки, и различие сводится ровно к цвету — то, чего и требуют методические указания.</w:t>
      </w:r>
    </w:p>
    <w:p>
      <w:pPr>
        <w:pStyle w:val="fig"/>
        <w:bidi w:val="0"/>
        <w:rPr/>
      </w:pPr>
      <w:r>
        <w:rPr/>
        <w:drawing>
          <wp:inline distT="0" distB="0" distL="0" distR="0">
            <wp:extent cx="5687695" cy="240982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695" cy="2409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cap"/>
        <w:bidi w:val="0"/>
        <w:rPr/>
      </w:pPr>
      <w:r>
        <w:rPr/>
        <w:t>Рисунок 1 — Ключевые токены трёх цветовых вариантов в светлой теме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47"/>
        <w:gridCol w:w="3046"/>
        <w:gridCol w:w="1410"/>
        <w:gridCol w:w="1414"/>
        <w:gridCol w:w="1458"/>
      </w:tblGrid>
      <w:tr>
        <w:trPr/>
        <w:tc>
          <w:tcPr>
            <w:tcW w:w="174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Токен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Назначение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A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B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17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bg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фон страницы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#F7F6F3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#F4F6F8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#FAF6EF</w:t>
            </w:r>
          </w:p>
        </w:tc>
      </w:tr>
      <w:tr>
        <w:trPr/>
        <w:tc>
          <w:tcPr>
            <w:tcW w:w="17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surface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карточка, панель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#FFFFFF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#FFFFFF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#FFFFFF</w:t>
            </w:r>
          </w:p>
        </w:tc>
      </w:tr>
      <w:tr>
        <w:trPr/>
        <w:tc>
          <w:tcPr>
            <w:tcW w:w="17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text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основной текст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#1B2432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#141922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#2A231C</w:t>
            </w:r>
          </w:p>
        </w:tc>
      </w:tr>
      <w:tr>
        <w:trPr/>
        <w:tc>
          <w:tcPr>
            <w:tcW w:w="17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text-muted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второстепенный текст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#5F6878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#5E677C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#6F6459</w:t>
            </w:r>
          </w:p>
        </w:tc>
      </w:tr>
      <w:tr>
        <w:trPr/>
        <w:tc>
          <w:tcPr>
            <w:tcW w:w="17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brand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шапка и глобальная навигация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#22304A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#1F2430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#3E3228</w:t>
            </w:r>
          </w:p>
        </w:tc>
      </w:tr>
      <w:tr>
        <w:trPr/>
        <w:tc>
          <w:tcPr>
            <w:tcW w:w="17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accent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кнопка ключевого действия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#AD5A21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#3B5BDB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#A8462A</w:t>
            </w:r>
          </w:p>
        </w:tc>
      </w:tr>
      <w:tr>
        <w:trPr/>
        <w:tc>
          <w:tcPr>
            <w:tcW w:w="17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accent-soft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акцентная плашка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#FBEDE2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#E6EAFB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#F7E6DF</w:t>
            </w:r>
          </w:p>
        </w:tc>
      </w:tr>
      <w:tr>
        <w:trPr/>
        <w:tc>
          <w:tcPr>
            <w:tcW w:w="17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success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успех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#2F7A43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#11795F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#5A7038</w:t>
            </w:r>
          </w:p>
        </w:tc>
      </w:tr>
      <w:tr>
        <w:trPr/>
        <w:tc>
          <w:tcPr>
            <w:tcW w:w="17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warning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предупреждение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#8F6710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#8A6512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#8A6612</w:t>
            </w:r>
          </w:p>
        </w:tc>
      </w:tr>
      <w:tr>
        <w:trPr/>
        <w:tc>
          <w:tcPr>
            <w:tcW w:w="17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error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ошибка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#C0392B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#C2342F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#A83A26</w:t>
            </w:r>
          </w:p>
        </w:tc>
      </w:tr>
      <w:tr>
        <w:trPr/>
        <w:tc>
          <w:tcPr>
            <w:tcW w:w="17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decor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декоративная заливка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#E07A3F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#17B8A6</w:t>
            </w:r>
          </w:p>
        </w:tc>
        <w:tc>
          <w:tcPr>
            <w:tcW w:w="1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#7A8450</w:t>
            </w:r>
          </w:p>
        </w:tc>
      </w:tr>
    </w:tbl>
    <w:p>
      <w:pPr>
        <w:pStyle w:val="Heading4"/>
        <w:bidi w:val="0"/>
        <w:rPr/>
      </w:pPr>
      <w:r>
        <w:rPr/>
        <w:t>Проверка контраста</w:t>
      </w:r>
    </w:p>
    <w:p>
      <w:pPr>
        <w:pStyle w:val="BodyText"/>
        <w:bidi w:val="0"/>
        <w:rPr/>
      </w:pPr>
      <w:r>
        <w:rPr/>
        <w:t xml:space="preserve">Цветовое решение проверялось не только на восприятие, но и на доступность. Все сочетания «текст — фон» и «граница — фон» проверены по WCAG 2.1 скриптом </w:t>
      </w:r>
      <w:r>
        <w:rPr>
          <w:rStyle w:val="Style10"/>
        </w:rPr>
        <w:t>tools/check_contrast.py</w:t>
      </w:r>
      <w:r>
        <w:rPr/>
        <w:t>, который вычисляет коэффициент контраста по формуле относительной яркости и сверяет его с порогом: 4,5 : 1 для основного текста, 3 : 1 для границ и графических элементов.</w:t>
      </w:r>
    </w:p>
    <w:p>
      <w:pPr>
        <w:pStyle w:val="BodyText"/>
        <w:bidi w:val="0"/>
        <w:rPr/>
      </w:pPr>
      <w:r>
        <w:rPr/>
        <w:t xml:space="preserve">Результат: </w:t>
      </w:r>
      <w:r>
        <w:rPr>
          <w:b/>
        </w:rPr>
        <w:t>126 пар, из них обязательных 120; не проходит — 0; уровню AAA соответствует 42</w:t>
      </w:r>
      <w:r>
        <w:rPr/>
        <w:t>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8"/>
        <w:gridCol w:w="1326"/>
        <w:gridCol w:w="1413"/>
        <w:gridCol w:w="1250"/>
        <w:gridCol w:w="2798"/>
      </w:tblGrid>
      <w:tr>
        <w:trPr/>
        <w:tc>
          <w:tcPr>
            <w:tcW w:w="228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Сочетание</w:t>
            </w:r>
          </w:p>
        </w:tc>
        <w:tc>
          <w:tcPr>
            <w:tcW w:w="1326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Контраст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Требуется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Итог</w:t>
            </w:r>
          </w:p>
        </w:tc>
        <w:tc>
          <w:tcPr>
            <w:tcW w:w="279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Решение</w:t>
            </w:r>
          </w:p>
        </w:tc>
      </w:tr>
      <w:tr>
        <w:trPr/>
        <w:tc>
          <w:tcPr>
            <w:tcW w:w="22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Белый текст на </w:t>
            </w:r>
            <w:r>
              <w:rPr>
                <w:rStyle w:val="Style10"/>
              </w:rPr>
              <w:t>#E07A3F</w:t>
            </w:r>
          </w:p>
        </w:tc>
        <w:tc>
          <w:tcPr>
            <w:tcW w:w="13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2,99 : 1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4,5 : 1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 проходит</w:t>
            </w:r>
          </w:p>
        </w:tc>
        <w:tc>
          <w:tcPr>
            <w:tcW w:w="279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для заливки кнопок введён затемнённый тон </w:t>
            </w:r>
            <w:r>
              <w:rPr>
                <w:rStyle w:val="Style10"/>
              </w:rPr>
              <w:t>#AD5A21</w:t>
            </w:r>
            <w:r>
              <w:rPr/>
              <w:t xml:space="preserve"> (4,93 : 1); исходный оттенок сохранён как декоративный</w:t>
            </w:r>
          </w:p>
        </w:tc>
      </w:tr>
      <w:tr>
        <w:trPr/>
        <w:tc>
          <w:tcPr>
            <w:tcW w:w="22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Белый текст на </w:t>
            </w:r>
            <w:r>
              <w:rPr>
                <w:rStyle w:val="Style10"/>
              </w:rPr>
              <w:t>#C96930</w:t>
            </w:r>
          </w:p>
        </w:tc>
        <w:tc>
          <w:tcPr>
            <w:tcW w:w="13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3,77 : 1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4,5 : 1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 проходит</w:t>
            </w:r>
          </w:p>
        </w:tc>
        <w:tc>
          <w:tcPr>
            <w:tcW w:w="279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то же; оттенок использовался как состояние наведения</w:t>
            </w:r>
          </w:p>
        </w:tc>
      </w:tr>
      <w:tr>
        <w:trPr/>
        <w:tc>
          <w:tcPr>
            <w:tcW w:w="22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Граница поля ввода </w:t>
            </w:r>
            <w:r>
              <w:rPr>
                <w:rStyle w:val="Style10"/>
              </w:rPr>
              <w:t>#C9C4B9</w:t>
            </w:r>
          </w:p>
        </w:tc>
        <w:tc>
          <w:tcPr>
            <w:tcW w:w="13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1,74 : 1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 : 1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 проходит</w:t>
            </w:r>
          </w:p>
        </w:tc>
        <w:tc>
          <w:tcPr>
            <w:tcW w:w="279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затемнена до уровня, удовлетворяющего WCAG 1.4.11</w:t>
            </w:r>
          </w:p>
        </w:tc>
      </w:tr>
      <w:tr>
        <w:trPr/>
        <w:tc>
          <w:tcPr>
            <w:tcW w:w="22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Второстепенный текст на плашке</w:t>
            </w:r>
          </w:p>
        </w:tc>
        <w:tc>
          <w:tcPr>
            <w:tcW w:w="13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4,23 : 1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4,5 : 1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 проходит</w:t>
            </w:r>
          </w:p>
        </w:tc>
        <w:tc>
          <w:tcPr>
            <w:tcW w:w="279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цвет текста затемнён</w:t>
            </w:r>
          </w:p>
        </w:tc>
      </w:tr>
    </w:tbl>
    <w:p>
      <w:pPr>
        <w:pStyle w:val="BodyText"/>
        <w:bidi w:val="0"/>
        <w:rPr/>
      </w:pPr>
      <w:r>
        <w:rPr/>
        <w:t>Всего скорректировано десять значений в трёх палитрах. Существенно, что дефект обнаружен в концепции, принятой в предыдущей работе: без формальной проверки он перешёл бы в разработку и проявился бы уже на этапе тестирования доступности.</w:t>
      </w:r>
    </w:p>
    <w:p>
      <w:pPr>
        <w:pStyle w:val="Heading3"/>
        <w:bidi w:val="0"/>
        <w:jc w:val="left"/>
        <w:rPr/>
      </w:pPr>
      <w:r>
        <w:rPr/>
        <w:t>1.5 Дизайн-макеты вариантов</w:t>
      </w:r>
    </w:p>
    <w:p>
      <w:pPr>
        <w:pStyle w:val="BodyText"/>
        <w:bidi w:val="0"/>
        <w:rPr/>
      </w:pPr>
      <w:r>
        <w:rPr/>
        <w:t>Для исследования выбраны два экрана — по одному на каждую платформу.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57"/>
        <w:gridCol w:w="1644"/>
        <w:gridCol w:w="4974"/>
      </w:tblGrid>
      <w:tr>
        <w:trPr/>
        <w:tc>
          <w:tcPr>
            <w:tcW w:w="245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Экран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Разрешение</w:t>
            </w:r>
          </w:p>
        </w:tc>
        <w:tc>
          <w:tcPr>
            <w:tcW w:w="497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Обоснование выбора</w:t>
            </w:r>
          </w:p>
        </w:tc>
      </w:tr>
      <w:tr>
        <w:trPr/>
        <w:tc>
          <w:tcPr>
            <w:tcW w:w="245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Главная страница веб-приложения с лентой «Специально для вас»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1440 px</w:t>
            </w:r>
          </w:p>
        </w:tc>
        <w:tc>
          <w:tcPr>
            <w:tcW w:w="497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лента — содержание главного экрана; персонализированные рекомендации положительно оценили 73,9 % респондентов опроса ЛР № 1. Экран содержит шапку, глобальную навигацию, баннер, сетку карточек и подвал, то есть почти все типовые элементы системы</w:t>
            </w:r>
          </w:p>
        </w:tc>
      </w:tr>
      <w:tr>
        <w:trPr/>
        <w:tc>
          <w:tcPr>
            <w:tcW w:w="245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Карточка товара мобильного приложения</w:t>
            </w:r>
          </w:p>
        </w:tc>
        <w:tc>
          <w:tcPr>
            <w:tcW w:w="164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375 px</w:t>
            </w:r>
          </w:p>
        </w:tc>
        <w:tc>
          <w:tcPr>
            <w:tcW w:w="497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82,6 % респондентов совершают покупки со смартфона. Карточка — ядро продукта: именно в ней показывается автоматически сформированное описание, ради которого проектируется система</w:t>
            </w:r>
          </w:p>
        </w:tc>
      </w:tr>
    </w:tbl>
    <w:p>
      <w:pPr>
        <w:pStyle w:val="BodyText"/>
        <w:bidi w:val="0"/>
        <w:rPr/>
      </w:pPr>
      <w:r>
        <w:rPr/>
        <w:t>Оба экрана зафиксированы макетами низкой точности ещё в ЛР № 2, поэтому структура не менялась — проверялся только цвет.</w:t>
      </w:r>
    </w:p>
    <w:p>
      <w:pPr>
        <w:pStyle w:val="BodyText"/>
        <w:bidi w:val="0"/>
        <w:rPr/>
      </w:pPr>
      <w:r>
        <w:rPr/>
        <w:t>Шрифты Inter и Manrope встроены в файл, внешних ссылок нет: вид макета не зависит от наличия сети во время теста. Это существенно, поскольку при отсутствии загрузки шрифта браузер подставил бы системный и оформление изменилось бы посреди исследования.</w:t>
      </w:r>
    </w:p>
    <w:p>
      <w:pPr>
        <w:pStyle w:val="BodyText"/>
        <w:bidi w:val="0"/>
        <w:rPr/>
      </w:pPr>
      <w:r>
        <w:rPr/>
        <w:t>Перед началом сбора ответов состав материалов зафиксирован контрольными суммами (</w:t>
      </w:r>
      <w:r>
        <w:rPr>
          <w:rStyle w:val="Style10"/>
        </w:rPr>
        <w:t>research/FREEZE.md</w:t>
      </w:r>
      <w:r>
        <w:rPr/>
        <w:t>) — это подтверждает, что все респонденты оценивали одну и ту же версию макетов.</w:t>
      </w:r>
    </w:p>
    <w:p>
      <w:pPr>
        <w:pStyle w:val="fig"/>
        <w:bidi w:val="0"/>
        <w:rPr/>
      </w:pPr>
      <w:r>
        <w:rPr/>
        <w:drawing>
          <wp:inline distT="0" distB="0" distL="0" distR="0">
            <wp:extent cx="5687695" cy="1403032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695" cy="14030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cap"/>
        <w:bidi w:val="0"/>
        <w:rPr/>
      </w:pPr>
      <w:r>
        <w:rPr/>
        <w:t>Рисунок 2 — Вариант A «Доверие»: веб-главная 1440 px и карточка товара 375 px</w:t>
      </w:r>
    </w:p>
    <w:p>
      <w:pPr>
        <w:pStyle w:val="fig"/>
        <w:bidi w:val="0"/>
        <w:rPr/>
      </w:pPr>
      <w:r>
        <w:rPr/>
        <w:drawing>
          <wp:inline distT="0" distB="0" distL="0" distR="0">
            <wp:extent cx="5687695" cy="1403032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695" cy="14030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cap"/>
        <w:bidi w:val="0"/>
        <w:rPr/>
      </w:pPr>
      <w:r>
        <w:rPr/>
        <w:t>Рисунок 3 — Вариант B «Технологичный»</w:t>
      </w:r>
    </w:p>
    <w:p>
      <w:pPr>
        <w:pStyle w:val="fig"/>
        <w:bidi w:val="0"/>
        <w:rPr/>
      </w:pPr>
      <w:r>
        <w:rPr/>
        <w:drawing>
          <wp:inline distT="0" distB="0" distL="0" distR="0">
            <wp:extent cx="5687695" cy="14030325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695" cy="14030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cap"/>
        <w:bidi w:val="0"/>
        <w:rPr/>
      </w:pPr>
      <w:r>
        <w:rPr/>
        <w:t>Рисунок 4 — Вариант C «Тёплый локальный»</w:t>
      </w:r>
    </w:p>
    <w:p>
      <w:pPr>
        <w:pStyle w:val="Heading3"/>
        <w:bidi w:val="0"/>
        <w:jc w:val="left"/>
        <w:rPr/>
      </w:pPr>
      <w:r>
        <w:rPr/>
        <w:t>1.6 Организация и проведение теста</w:t>
      </w:r>
    </w:p>
    <w:p>
      <w:pPr>
        <w:pStyle w:val="BodyText"/>
        <w:bidi w:val="0"/>
        <w:rPr/>
      </w:pPr>
      <w:r>
        <w:rPr/>
        <w:t xml:space="preserve">В тестировании приняли участие </w:t>
      </w:r>
      <w:r>
        <w:rPr>
          <w:b/>
        </w:rPr>
        <w:t>11 респондентов</w:t>
      </w:r>
      <w:r>
        <w:rPr/>
        <w:t>. Состав выборки соответствует группам пользователей, выделенным в ЛР № 1.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382"/>
        <w:gridCol w:w="1832"/>
        <w:gridCol w:w="1861"/>
      </w:tblGrid>
      <w:tr>
        <w:trPr/>
        <w:tc>
          <w:tcPr>
            <w:tcW w:w="5382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Группа пользователей из ЛР № 1</w:t>
            </w:r>
          </w:p>
        </w:tc>
        <w:tc>
          <w:tcPr>
            <w:tcW w:w="1832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Требовалось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Фактически</w:t>
            </w:r>
          </w:p>
        </w:tc>
      </w:tr>
      <w:tr>
        <w:trPr/>
        <w:tc>
          <w:tcPr>
            <w:tcW w:w="538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«Осознанные покупательницы» 25–34</w:t>
            </w:r>
          </w:p>
        </w:tc>
        <w:tc>
          <w:tcPr>
            <w:tcW w:w="18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</w:t>
            </w:r>
          </w:p>
        </w:tc>
      </w:tr>
      <w:tr>
        <w:trPr/>
        <w:tc>
          <w:tcPr>
            <w:tcW w:w="538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«Новички» 35–55</w:t>
            </w:r>
          </w:p>
        </w:tc>
        <w:tc>
          <w:tcPr>
            <w:tcW w:w="18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538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«Быстрые покупатели» 18–29</w:t>
            </w:r>
          </w:p>
        </w:tc>
        <w:tc>
          <w:tcPr>
            <w:tcW w:w="18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538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Продавцы</w:t>
            </w:r>
          </w:p>
        </w:tc>
        <w:tc>
          <w:tcPr>
            <w:tcW w:w="18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BodyText"/>
        <w:bidi w:val="0"/>
        <w:rPr/>
      </w:pPr>
      <w:r>
        <w:rPr/>
        <w:t>Распределение по основному устройству: смартфон — 8, компьютер — 2, планшет — 1.</w:t>
      </w:r>
    </w:p>
    <w:p>
      <w:pPr>
        <w:pStyle w:val="BodyText"/>
        <w:bidi w:val="0"/>
        <w:rPr/>
      </w:pPr>
      <w:r>
        <w:rPr/>
        <w:t xml:space="preserve">Анкета реализована собственным сервером </w:t>
      </w:r>
      <w:r>
        <w:rPr>
          <w:rStyle w:val="Style10"/>
        </w:rPr>
        <w:t>tools/serve_test.py</w:t>
      </w:r>
      <w:r>
        <w:rPr/>
        <w:t xml:space="preserve">: он показывает макеты, задаёт вопросы и записывает ответы непосредственно в </w:t>
      </w:r>
      <w:r>
        <w:rPr>
          <w:rStyle w:val="Style10"/>
        </w:rPr>
        <w:t>research/raw.csv</w:t>
      </w:r>
      <w:r>
        <w:rPr/>
        <w:t>. Отказ от внешнего сервиса форм исключил рассогласование имён столбцов при выгрузке и позволил назначать порядок показа автоматически.</w:t>
      </w:r>
    </w:p>
    <w:p>
      <w:pPr>
        <w:pStyle w:val="BodyText"/>
        <w:bidi w:val="0"/>
        <w:rPr/>
      </w:pPr>
      <w:r>
        <w:rPr/>
        <w:t xml:space="preserve">Соблюдены условия корректности измерения: </w:t>
      </w:r>
      <w:r>
        <w:rPr>
          <w:b/>
        </w:rPr>
        <w:t>порядок предъявления вариантов ротировался между респондентами</w:t>
      </w:r>
      <w:r>
        <w:rPr/>
        <w:t xml:space="preserve"> для подавления эффекта первичности; переход к оценке блокировался на 15 секунд, чтобы респондент действительно рассмотрел макет; возврат к предыдущему макету не допускался; все 15 шкал были обязательными.</w:t>
      </w:r>
    </w:p>
    <w:p>
      <w:pPr>
        <w:pStyle w:val="Heading3"/>
        <w:bidi w:val="0"/>
        <w:jc w:val="left"/>
        <w:rPr/>
      </w:pPr>
      <w:r>
        <w:rPr/>
        <w:t>1.7 Обработка результатов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88"/>
        <w:gridCol w:w="764"/>
        <w:gridCol w:w="656"/>
        <w:gridCol w:w="1290"/>
        <w:gridCol w:w="1290"/>
        <w:gridCol w:w="1290"/>
        <w:gridCol w:w="997"/>
      </w:tblGrid>
      <w:tr>
        <w:trPr/>
        <w:tc>
          <w:tcPr>
            <w:tcW w:w="278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Пара (5 — 1)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Цель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Вес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A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B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C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Ближе к цели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Добрый — Злой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3.82 ± 0.75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3.55 ± 1.13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4.55 ± 0.69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Современный — Классический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3.64 ± 1.03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4.09 ± 1.14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3.82 ± 0.98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Молодой — Старый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3.5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4.00 ± 1.00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4.27 ± 0.79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3.73 ± 0.90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Безопасный — Опасный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5.0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4.00 ± 0.63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4.00 ± 0.77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4.55 ± 0.69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Красивый — Некрасивый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4.09 ± 0.94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3.91 ± 0.83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4.27 ± 0.79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Интересный — Скучный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4.00 ± 0.63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3.18 ± 0.87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3.55 ± 1.04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Полезный — Бесполезный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5.0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3.73 ± 0.79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4.27 ± 0.79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3.82 ± 0.75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Честный — Лживый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5.0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×2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3.91 ± 0.94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4.27 ± 0.65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4.09 ± 0.70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Надёжный — Ненадёжный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5.0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×2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3.82 ± 0.87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4.36 ± 0.67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4.09 ± 0.83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Простой — Сложный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4.00 ± 0.77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3.64 ± 1.03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3.82 ± 0.75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Понятный — Запутанный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5.0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3.64 ± 0.92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4.00 ± 1.10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4.27 ± 0.47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Спокойный — Раздражающий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3.91 ± 0.70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4.00 ± 0.63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4.82 ± 0.40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Профессиональный — Любительский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4.5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3.55 ± 0.82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4.36 ± 0.81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3.82 ± 1.17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Дорогой — Дешёвый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3.5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3.73 ± 0.90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3.27 ± 0.65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3.82 ± 0.87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</w:t>
            </w:r>
          </w:p>
        </w:tc>
      </w:tr>
      <w:tr>
        <w:trPr/>
        <w:tc>
          <w:tcPr>
            <w:tcW w:w="27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Технологичный — Устаревший</w:t>
            </w:r>
          </w:p>
        </w:tc>
        <w:tc>
          <w:tcPr>
            <w:tcW w:w="76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4.0</w:t>
            </w:r>
          </w:p>
        </w:tc>
        <w:tc>
          <w:tcPr>
            <w:tcW w:w="65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3.36 ± 0.92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4.36 ± 0.67</w:t>
            </w:r>
          </w:p>
        </w:tc>
        <w:tc>
          <w:tcPr>
            <w:tcW w:w="12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3.36 ± 0.92</w:t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</w:t>
            </w:r>
          </w:p>
        </w:tc>
      </w:tr>
    </w:tbl>
    <w:p>
      <w:pPr>
        <w:pStyle w:val="BodyText"/>
        <w:bidi w:val="0"/>
        <w:rPr/>
      </w:pPr>
      <w:r>
        <w:rPr/>
        <w:t>Формат ячейки — среднее ± стандартное отклонение.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75"/>
        <w:gridCol w:w="1748"/>
        <w:gridCol w:w="2404"/>
        <w:gridCol w:w="1048"/>
      </w:tblGrid>
      <w:tr>
        <w:trPr/>
        <w:tc>
          <w:tcPr>
            <w:tcW w:w="3875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Вариант</w:t>
            </w:r>
          </w:p>
        </w:tc>
        <w:tc>
          <w:tcPr>
            <w:tcW w:w="174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Сумма отклонений</w:t>
            </w:r>
          </w:p>
        </w:tc>
        <w:tc>
          <w:tcPr>
            <w:tcW w:w="240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Взвешенная сумма</w:t>
            </w:r>
          </w:p>
        </w:tc>
        <w:tc>
          <w:tcPr>
            <w:tcW w:w="104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Место</w:t>
            </w:r>
          </w:p>
        </w:tc>
      </w:tr>
      <w:tr>
        <w:trPr/>
        <w:tc>
          <w:tcPr>
            <w:tcW w:w="387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Вариант C «Тёплый локальный»</w:t>
            </w:r>
          </w:p>
        </w:tc>
        <w:tc>
          <w:tcPr>
            <w:tcW w:w="174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7.95</w:t>
            </w:r>
          </w:p>
        </w:tc>
        <w:tc>
          <w:tcPr>
            <w:tcW w:w="2404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b/>
              </w:rPr>
            </w:pPr>
            <w:r>
              <w:rPr>
                <w:b/>
              </w:rPr>
              <w:t>9.77</w:t>
            </w:r>
          </w:p>
        </w:tc>
        <w:tc>
          <w:tcPr>
            <w:tcW w:w="104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7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Вариант B «Технологичный»</w:t>
            </w:r>
          </w:p>
        </w:tc>
        <w:tc>
          <w:tcPr>
            <w:tcW w:w="174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9.41</w:t>
            </w:r>
          </w:p>
        </w:tc>
        <w:tc>
          <w:tcPr>
            <w:tcW w:w="2404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b/>
              </w:rPr>
            </w:pPr>
            <w:r>
              <w:rPr>
                <w:b/>
              </w:rPr>
              <w:t>10.77</w:t>
            </w:r>
          </w:p>
        </w:tc>
        <w:tc>
          <w:tcPr>
            <w:tcW w:w="104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</w:tr>
      <w:tr>
        <w:trPr/>
        <w:tc>
          <w:tcPr>
            <w:tcW w:w="387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Вариант A «Доверие»</w:t>
            </w:r>
          </w:p>
        </w:tc>
        <w:tc>
          <w:tcPr>
            <w:tcW w:w="174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10.77</w:t>
            </w:r>
          </w:p>
        </w:tc>
        <w:tc>
          <w:tcPr>
            <w:tcW w:w="2404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b/>
              </w:rPr>
            </w:pPr>
            <w:r>
              <w:rPr>
                <w:b/>
              </w:rPr>
              <w:t>13.05</w:t>
            </w:r>
          </w:p>
        </w:tc>
        <w:tc>
          <w:tcPr>
            <w:tcW w:w="104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</w:tr>
    </w:tbl>
    <w:p>
      <w:pPr>
        <w:pStyle w:val="fig"/>
        <w:bidi w:val="0"/>
        <w:rPr/>
      </w:pPr>
      <w:r>
        <w:rPr/>
        <w:drawing>
          <wp:inline distT="0" distB="0" distL="0" distR="0">
            <wp:extent cx="5687695" cy="7239000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695" cy="723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cap"/>
        <w:bidi w:val="0"/>
        <w:rPr/>
      </w:pPr>
      <w:r>
        <w:rPr/>
        <w:t>Рисунок 5 — Диаграмма-профиль трёх вариантов. Пунктир — целевой профиль, заданный до проведения теста</w:t>
      </w:r>
    </w:p>
    <w:p>
      <w:pPr>
        <w:pStyle w:val="BodyText"/>
        <w:bidi w:val="0"/>
        <w:rPr/>
      </w:pPr>
      <w:r>
        <w:rPr/>
        <w:t>На диаграмме видно, что линия варианта C на большинстве шкал проходит ближе к пунктирной линии цели. Наибольшие расхождения у всех вариантов приходятся на верхнюю часть диаграммы — пары «Полезный», «Честный», «Надёжный»: ни один вариант не достиг целевого значения 5,0. Это закономерно: доверие к площадке формируется содержанием, а не цветом, и цветовое решение может лишь не мешать ему.</w:t>
      </w:r>
    </w:p>
    <w:p>
      <w:pPr>
        <w:pStyle w:val="Heading4"/>
        <w:bidi w:val="0"/>
        <w:rPr/>
      </w:pPr>
      <w:r>
        <w:rPr/>
        <w:t>Содержательный разбор</w:t>
      </w:r>
    </w:p>
    <w:p>
      <w:pPr>
        <w:pStyle w:val="BodyText"/>
        <w:bidi w:val="0"/>
        <w:rPr/>
      </w:pPr>
      <w:r>
        <w:rPr/>
        <w:t>Вариант C выигрывает по шкалам «Спокойный» (4.82 — лучшая оценка в таблице при наименьшем разбросе 0.40), «Добрый» (4.55) и «Безопасный» (4.55). Это соответствует условиям использования из ЛР № 1: 58,7 % респондентов заходят в приложение вечером, когда визуальная агрессия воспринимается особенно остро.</w:t>
      </w:r>
    </w:p>
    <w:p>
      <w:pPr>
        <w:pStyle w:val="BodyText"/>
        <w:bidi w:val="0"/>
        <w:rPr/>
      </w:pPr>
      <w:r>
        <w:rPr/>
        <w:t>Вариант C уступает по шкалам «Технологичный» (3.36 при цели 4,0) и «Профессиональный» (3.82 при цели 4,5) — по ним лидирует вариант B. Таким образом, бизнес-задача ЛР № 1 п. 13.4 о технологичном образе площадки решается выбранным вариантом не полностью; компенсировать это следует средствами типографики и компоновки, а не цветом.</w:t>
      </w:r>
    </w:p>
    <w:p>
      <w:pPr>
        <w:pStyle w:val="BodyText"/>
        <w:bidi w:val="0"/>
        <w:rPr/>
      </w:pPr>
      <w:r>
        <w:rPr/>
        <w:t>Исходный вариант A, предложенный в ЛР № 2, занял последнее место (13.05). Он проиграл прежде всего по шкалам «Понятный» (3.64 при цели 5,0), «Полезный» (3.73) и «Надёжный» (3.82), то есть именно по тем характеристикам, которые закрывают ключевые барьеры онлайн-покупки, выявленные в ЛР № 1.</w:t>
      </w:r>
    </w:p>
    <w:p>
      <w:pPr>
        <w:pStyle w:val="Heading4"/>
        <w:bidi w:val="0"/>
        <w:rPr/>
      </w:pPr>
      <w:r>
        <w:rPr/>
        <w:t>Контрольный вопрос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81"/>
        <w:gridCol w:w="1890"/>
        <w:gridCol w:w="1904"/>
      </w:tblGrid>
      <w:tr>
        <w:trPr/>
        <w:tc>
          <w:tcPr>
            <w:tcW w:w="528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Вариант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Выбрали</w:t>
            </w:r>
          </w:p>
        </w:tc>
        <w:tc>
          <w:tcPr>
            <w:tcW w:w="190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Доля</w:t>
            </w:r>
          </w:p>
        </w:tc>
      </w:tr>
      <w:tr>
        <w:trPr/>
        <w:tc>
          <w:tcPr>
            <w:tcW w:w="528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Вариант A «Доверие»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90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18 %</w:t>
            </w:r>
          </w:p>
        </w:tc>
      </w:tr>
      <w:tr>
        <w:trPr/>
        <w:tc>
          <w:tcPr>
            <w:tcW w:w="528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Вариант B «Технологичный»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90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27 %</w:t>
            </w:r>
          </w:p>
        </w:tc>
      </w:tr>
      <w:tr>
        <w:trPr/>
        <w:tc>
          <w:tcPr>
            <w:tcW w:w="528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Вариант C «Тёплый локальный»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190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55 %</w:t>
            </w:r>
          </w:p>
        </w:tc>
      </w:tr>
    </w:tbl>
    <w:p>
      <w:pPr>
        <w:pStyle w:val="BodyText"/>
        <w:bidi w:val="0"/>
        <w:rPr/>
      </w:pPr>
      <w:r>
        <w:rPr/>
        <w:t>Прямой выбор подтверждает результат по шкалам: вариант C предпочли 6 респондентов из 11.</w:t>
      </w:r>
    </w:p>
    <w:p>
      <w:pPr>
        <w:pStyle w:val="Heading4"/>
        <w:bidi w:val="0"/>
        <w:rPr/>
      </w:pPr>
      <w:r>
        <w:rPr/>
        <w:t>Различия между группами пользователей</w:t>
      </w:r>
    </w:p>
    <w:p>
      <w:pPr>
        <w:pStyle w:val="BodyText"/>
        <w:bidi w:val="0"/>
        <w:rPr/>
      </w:pPr>
      <w:r>
        <w:rPr/>
        <w:t>Оценки разобраны по группам, выделенным в ЛР № 1. Это важно, поскольку группы различаются и возрастом, и опытом онлайн-покупок.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41"/>
        <w:gridCol w:w="1188"/>
        <w:gridCol w:w="970"/>
        <w:gridCol w:w="970"/>
        <w:gridCol w:w="970"/>
        <w:gridCol w:w="1236"/>
      </w:tblGrid>
      <w:tr>
        <w:trPr/>
        <w:tc>
          <w:tcPr>
            <w:tcW w:w="374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Группа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Человек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A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B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C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Лучший</w:t>
            </w:r>
          </w:p>
        </w:tc>
      </w:tr>
      <w:tr>
        <w:trPr/>
        <w:tc>
          <w:tcPr>
            <w:tcW w:w="374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«Осознанные покупательницы» 25–34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8.25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6.75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6.75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374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«Новички» 35 и старше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14.50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11.75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11.75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374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«Быстрые покупатели» 18–24</w:t>
            </w:r>
          </w:p>
        </w:tc>
        <w:tc>
          <w:tcPr>
            <w:tcW w:w="118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18.50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15.17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14.17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C</w:t>
            </w:r>
          </w:p>
        </w:tc>
      </w:tr>
    </w:tbl>
    <w:p>
      <w:pPr>
        <w:pStyle w:val="BodyText"/>
        <w:bidi w:val="0"/>
        <w:rPr/>
      </w:pPr>
      <w:r>
        <w:rPr/>
        <w:t>В таблице приведено взвешенное отклонение от целевого профиля внутри каждой группы: чем меньше значение, тем ближе вариант к цели. Группы разошлись в оценках, поэтому итоговый выбор опирается на выборку в целом; расхождение зафиксировано как ограничение исследования. Следует учитывать, что при разбиении на группы численность каждой составляет три-четыре человека, поэтому различия между группами носят характер наблюдения, а не статистически значимого вывода.</w:t>
      </w:r>
    </w:p>
    <w:p>
      <w:pPr>
        <w:pStyle w:val="Heading4"/>
        <w:bidi w:val="0"/>
        <w:rPr/>
      </w:pPr>
      <w:r>
        <w:rPr/>
        <w:t>Проверка эффекта порядка</w:t>
      </w:r>
    </w:p>
    <w:p>
      <w:pPr>
        <w:pStyle w:val="BodyText"/>
        <w:bidi w:val="0"/>
        <w:rPr/>
      </w:pPr>
      <w:r>
        <w:rPr/>
        <w:t>Поскольку порядок показа ротировался, проверено, не объясняется ли результат позицией предъявления.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15"/>
        <w:gridCol w:w="4560"/>
      </w:tblGrid>
      <w:tr>
        <w:trPr/>
        <w:tc>
          <w:tcPr>
            <w:tcW w:w="4515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Позиция показа</w:t>
            </w:r>
          </w:p>
        </w:tc>
        <w:tc>
          <w:tcPr>
            <w:tcW w:w="456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Средняя оценка</w:t>
            </w:r>
          </w:p>
        </w:tc>
      </w:tr>
      <w:tr>
        <w:trPr/>
        <w:tc>
          <w:tcPr>
            <w:tcW w:w="45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1-й</w:t>
            </w:r>
          </w:p>
        </w:tc>
        <w:tc>
          <w:tcPr>
            <w:tcW w:w="456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3.915</w:t>
            </w:r>
          </w:p>
        </w:tc>
      </w:tr>
      <w:tr>
        <w:trPr/>
        <w:tc>
          <w:tcPr>
            <w:tcW w:w="45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2-й</w:t>
            </w:r>
          </w:p>
        </w:tc>
        <w:tc>
          <w:tcPr>
            <w:tcW w:w="456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3.994</w:t>
            </w:r>
          </w:p>
        </w:tc>
      </w:tr>
      <w:tr>
        <w:trPr/>
        <w:tc>
          <w:tcPr>
            <w:tcW w:w="45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3-й</w:t>
            </w:r>
          </w:p>
        </w:tc>
        <w:tc>
          <w:tcPr>
            <w:tcW w:w="456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3.897</w:t>
            </w:r>
          </w:p>
        </w:tc>
      </w:tr>
    </w:tbl>
    <w:p>
      <w:pPr>
        <w:pStyle w:val="BodyText"/>
        <w:bidi w:val="0"/>
        <w:rPr/>
      </w:pPr>
      <w:r>
        <w:rPr/>
        <w:t>Разброс между позициями составляет 0.097 балла, то есть позиция на оценку практически не влияла. Дополнительно пересчитаны отклонения только по тем респондентам, которые видели соответствующий вариант не первым: Вариант A «Доверие» — 12.25, Вариант B «Технологичный» — 13.33, Вариант C «Тёплый локальный» — 9.25. Вариант C сохраняет первое место, следовательно результат устойчив.</w:t>
      </w:r>
    </w:p>
    <w:p>
      <w:pPr>
        <w:pStyle w:val="Heading2"/>
        <w:bidi w:val="0"/>
        <w:jc w:val="left"/>
        <w:rPr/>
      </w:pPr>
      <w:r>
        <w:rPr/>
        <w:t>2 Проектирование прототипа пользовательского интерфейса</w:t>
      </w:r>
    </w:p>
    <w:p>
      <w:pPr>
        <w:pStyle w:val="Heading3"/>
        <w:bidi w:val="0"/>
        <w:jc w:val="left"/>
        <w:rPr/>
      </w:pPr>
      <w:r>
        <w:rPr/>
        <w:t>2.1 Модульная сетка</w:t>
      </w:r>
    </w:p>
    <w:p>
      <w:pPr>
        <w:pStyle w:val="BodyText"/>
        <w:bidi w:val="0"/>
        <w:rPr/>
      </w:pPr>
      <w:r>
        <w:rPr/>
        <w:t xml:space="preserve">Для адаптации выбрана страница </w:t>
      </w:r>
      <w:r>
        <w:rPr>
          <w:b/>
        </w:rPr>
        <w:t>каталога с фильтрами</w:t>
      </w:r>
      <w:r>
        <w:rPr/>
        <w:t>: её структура (боковая панель фильтров и сетка карточек) перестраивается на каждом шаге, поэтому адаптация содержательна, а не сводится к изменению ширины.</w:t>
      </w:r>
    </w:p>
    <w:p>
      <w:pPr>
        <w:pStyle w:val="BodyText"/>
        <w:bidi w:val="0"/>
        <w:rPr/>
      </w:pPr>
      <w:r>
        <w:rPr/>
        <w:t>Применена двенадцатиколоночная сетка — наиболее распространённая в веб-дизайне и рекомендованная методическими указаниями: двенадцать делится на четыре, три и два, что позволяет без остатка разложить контент в любое из этих чисел колонок. На узких разрешениях число колонок сокращается до восьми и четырёх, поскольку двенадцать колонок шириной менее 40 px теряют смысл.</w:t>
      </w:r>
    </w:p>
    <w:p>
      <w:pPr>
        <w:pStyle w:val="BodyText"/>
        <w:bidi w:val="0"/>
        <w:rPr/>
      </w:pPr>
      <w:r>
        <w:rPr/>
        <w:t>Ширина контейнера рассчитана по формуле из методических указаний: контейнер = колонка × N + гаттер × (N − 1). Для монтажной области 1440 px при полях 60 px контейнер равен 1320 px, что при двенадцати колонках и гаттере 24 px даёт колонку 88 px: 12 × 88 + 11 × 24 = 1056 + 264 = 1320.</w:t>
      </w:r>
    </w:p>
    <w:p>
      <w:pPr>
        <w:pStyle w:val="BodyText"/>
        <w:bidi w:val="0"/>
        <w:rPr/>
      </w:pPr>
      <w:r>
        <w:rPr/>
        <w:t>Боковая панель фильтров занимает три колонки — 3 × 88 + 2 × 24 = 312 px, сетка товаров девять колонок. Фактическая ширина панели в собранном макете составляет ровно 312 px, что подтверждено измерением в браузере.</w:t>
      </w:r>
    </w:p>
    <w:tbl>
      <w:tblPr>
        <w:tblW w:w="970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51"/>
        <w:gridCol w:w="1197"/>
        <w:gridCol w:w="1499"/>
        <w:gridCol w:w="1228"/>
        <w:gridCol w:w="994"/>
        <w:gridCol w:w="1228"/>
        <w:gridCol w:w="784"/>
        <w:gridCol w:w="1419"/>
      </w:tblGrid>
      <w:tr>
        <w:trPr/>
        <w:tc>
          <w:tcPr>
            <w:tcW w:w="135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Диапазон</w:t>
            </w:r>
          </w:p>
        </w:tc>
        <w:tc>
          <w:tcPr>
            <w:tcW w:w="119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Артборд</w:t>
            </w:r>
          </w:p>
        </w:tc>
        <w:tc>
          <w:tcPr>
            <w:tcW w:w="1499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Контейнер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Колонок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Гаттер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Колонка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Поля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Проверка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1440+</w:t>
            </w:r>
          </w:p>
        </w:tc>
        <w:tc>
          <w:tcPr>
            <w:tcW w:w="11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1440</w:t>
            </w:r>
          </w:p>
        </w:tc>
        <w:tc>
          <w:tcPr>
            <w:tcW w:w="149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1320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12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24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88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60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12 × 88 + 11 × 24 = 1320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992–1199</w:t>
            </w:r>
          </w:p>
        </w:tc>
        <w:tc>
          <w:tcPr>
            <w:tcW w:w="11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1024</w:t>
            </w:r>
          </w:p>
        </w:tc>
        <w:tc>
          <w:tcPr>
            <w:tcW w:w="149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984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12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24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60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20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12 × 60 + 11 × 24 = 984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768–991</w:t>
            </w:r>
          </w:p>
        </w:tc>
        <w:tc>
          <w:tcPr>
            <w:tcW w:w="11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768</w:t>
            </w:r>
          </w:p>
        </w:tc>
        <w:tc>
          <w:tcPr>
            <w:tcW w:w="149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720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24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69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24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8 × 69 + 7 × 24 = 720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576–767</w:t>
            </w:r>
          </w:p>
        </w:tc>
        <w:tc>
          <w:tcPr>
            <w:tcW w:w="11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600</w:t>
            </w:r>
          </w:p>
        </w:tc>
        <w:tc>
          <w:tcPr>
            <w:tcW w:w="149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552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16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55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24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8 × 55 + 7 × 16 = 552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400–575</w:t>
            </w:r>
          </w:p>
        </w:tc>
        <w:tc>
          <w:tcPr>
            <w:tcW w:w="11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414</w:t>
            </w:r>
          </w:p>
        </w:tc>
        <w:tc>
          <w:tcPr>
            <w:tcW w:w="149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stretch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16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83.5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16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резиновая сетка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320–399</w:t>
            </w:r>
          </w:p>
        </w:tc>
        <w:tc>
          <w:tcPr>
            <w:tcW w:w="11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360</w:t>
            </w:r>
          </w:p>
        </w:tc>
        <w:tc>
          <w:tcPr>
            <w:tcW w:w="149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stretch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16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70</w:t>
            </w:r>
          </w:p>
        </w:tc>
        <w:tc>
          <w:tcPr>
            <w:tcW w:w="78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16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резиновая сетка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2.2 Адаптивные макеты веб-страницы</w:t>
      </w:r>
    </w:p>
    <w:p>
      <w:pPr>
        <w:pStyle w:val="BodyText"/>
        <w:bidi w:val="0"/>
        <w:rPr/>
      </w:pPr>
      <w:r>
        <w:rPr/>
        <w:t xml:space="preserve">Макеты разработаны для шести разрешений, требуемых методическими указаниями. Реализованы </w:t>
      </w:r>
      <w:r>
        <w:rPr>
          <w:b/>
        </w:rPr>
        <w:t>единой разметкой с медиазапросами</w:t>
      </w:r>
      <w:r>
        <w:rPr/>
        <w:t>, а не шестью отдельными изображениями: переходы между состояниями можно наблюдать, изменяя ширину окна браузера.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51"/>
        <w:gridCol w:w="1223"/>
        <w:gridCol w:w="6501"/>
      </w:tblGrid>
      <w:tr>
        <w:trPr/>
        <w:tc>
          <w:tcPr>
            <w:tcW w:w="135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Диапазон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Артборд</w:t>
            </w:r>
          </w:p>
        </w:tc>
        <w:tc>
          <w:tcPr>
            <w:tcW w:w="650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Изменения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1440+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1440</w:t>
            </w:r>
          </w:p>
        </w:tc>
        <w:tc>
          <w:tcPr>
            <w:tcW w:w="650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Сайдбар фильтров 3 колонки слева, сетка 4 карточки в ряд. Поиск развёрнут в шапке, вся глобальная навигация видна.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992–1199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1024</w:t>
            </w:r>
          </w:p>
        </w:tc>
        <w:tc>
          <w:tcPr>
            <w:tcW w:w="650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Сайдбар сохраняется, сетка сокращается до 3 карточек. Названия категорий в шапке без изменений.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768–991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768</w:t>
            </w:r>
          </w:p>
        </w:tc>
        <w:tc>
          <w:tcPr>
            <w:tcW w:w="650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Сайдбар сворачивается в кнопку «Фильтры» и выдвижную панель. Сетка 3 карточки. Поиск сжимается, утилиты шапки — только иконки.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576–767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600</w:t>
            </w:r>
          </w:p>
        </w:tc>
        <w:tc>
          <w:tcPr>
            <w:tcW w:w="650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Сетка 2 карточки. Сортировка переезжает в нижнюю всплывающую панель. Хлебные крошки сокращаются до последнего уровня.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400–575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414</w:t>
            </w:r>
          </w:p>
        </w:tc>
        <w:tc>
          <w:tcPr>
            <w:tcW w:w="650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Категории — горизонтальная лента с прокруткой. Внизу закрепляется панель «Фильтры · Сортировка». Поиск — по иконке.</w:t>
            </w:r>
          </w:p>
        </w:tc>
      </w:tr>
      <w:tr>
        <w:trPr/>
        <w:tc>
          <w:tcPr>
            <w:tcW w:w="13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320–399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360</w:t>
            </w:r>
          </w:p>
        </w:tc>
        <w:tc>
          <w:tcPr>
            <w:tcW w:w="650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Сетка 2 карточки с уплотнённой типографикой: название в две строки, цена и рейтинг в одну. Отступы 16 px, кнопка «В корзину» на всю ширину.</w:t>
            </w:r>
          </w:p>
        </w:tc>
      </w:tr>
    </w:tbl>
    <w:p>
      <w:pPr>
        <w:pStyle w:val="fig"/>
        <w:bidi w:val="0"/>
        <w:rPr/>
      </w:pPr>
      <w:r>
        <w:rPr/>
        <w:drawing>
          <wp:inline distT="0" distB="0" distL="0" distR="0">
            <wp:extent cx="5687695" cy="7162800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695" cy="71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cap"/>
        <w:bidi w:val="0"/>
        <w:rPr/>
      </w:pPr>
      <w:r>
        <w:rPr/>
        <w:t>Рисунок 6 — Каталог на широких разрешениях: сайдбар фильтров сохраняется, меняется плотность сетки товаров</w:t>
      </w:r>
    </w:p>
    <w:p>
      <w:pPr>
        <w:pStyle w:val="fig"/>
        <w:bidi w:val="0"/>
        <w:rPr/>
      </w:pPr>
      <w:r>
        <w:rPr/>
        <w:drawing>
          <wp:inline distT="0" distB="0" distL="0" distR="0">
            <wp:extent cx="5687695" cy="6400800"/>
            <wp:effectExtent l="0" t="0" r="0" b="0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695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cap"/>
        <w:bidi w:val="0"/>
        <w:rPr/>
      </w:pPr>
      <w:r>
        <w:rPr/>
        <w:t>Рисунок 7 — Каталог на узких разрешениях: фильтры убираются в выдвижную панель, появляется закреплённая строка управления</w:t>
      </w:r>
    </w:p>
    <w:p>
      <w:pPr>
        <w:pStyle w:val="BodyText"/>
        <w:bidi w:val="0"/>
        <w:rPr/>
      </w:pPr>
      <w:r>
        <w:rPr/>
        <w:t>На разрешении 768 px боковая панель фильтров заменяется кнопкой с указанием числа применённых фильтров: панель занимает слишком много места, но скрывать сам факт фильтрации нельзя, иначе пользователь не поймёт, почему видит неполный каталог. Начиная с 575 px управление сортировкой и фильтрами переносится в закреплённую внизу строку — в зону, достижимую большим пальцем. На 360 px из карточки убирается краткое описание: при ширине карточки 158 px оно занимало бы четыре строки и вытесняло цену за пределы экрана.</w:t>
      </w:r>
    </w:p>
    <w:p>
      <w:pPr>
        <w:pStyle w:val="BodyText"/>
        <w:bidi w:val="0"/>
        <w:rPr/>
      </w:pPr>
      <w:r>
        <w:rPr/>
        <w:t>Каждое состояние проверено в браузере измерением фактических значений: ширина контейнера, число колонок сетки, ширина карточки, видимость боковой панели, наличие горизонтальной прокрутки.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27"/>
        <w:gridCol w:w="1347"/>
        <w:gridCol w:w="1392"/>
        <w:gridCol w:w="1271"/>
        <w:gridCol w:w="1565"/>
        <w:gridCol w:w="2273"/>
      </w:tblGrid>
      <w:tr>
        <w:trPr/>
        <w:tc>
          <w:tcPr>
            <w:tcW w:w="122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Ширина окна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Карточек в ряд</w:t>
            </w:r>
          </w:p>
        </w:tc>
        <w:tc>
          <w:tcPr>
            <w:tcW w:w="1392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Ширина карточки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Сайдбар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Кнопка «Фильтры»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Горизонтальная прокрутка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1440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3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224 px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есть, 312 px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нет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1024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3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223 px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есть, 228 px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нет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768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3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219 px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скрыт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есть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600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3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268 px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скрыт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есть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414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3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183 px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скрыт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закреплена внизу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360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3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158 px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скрыт</w:t>
            </w:r>
          </w:p>
        </w:tc>
        <w:tc>
          <w:tcPr>
            <w:tcW w:w="15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закреплена внизу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BodyText"/>
        <w:bidi w:val="0"/>
        <w:rPr/>
      </w:pPr>
      <w:r>
        <w:rPr/>
        <w:t>При проверке выявлены и устранены два нарушения собственного руководства по стилям: кнопка «В корзину» на узких экранах имела высоту 38 px, а нижняя панель навигации — 43 px при требовании ЛР № 1 п. 2.3 не менее 44 pt для iOS и 48 dp для Android.</w:t>
      </w:r>
    </w:p>
    <w:p>
      <w:pPr>
        <w:pStyle w:val="Heading3"/>
        <w:bidi w:val="0"/>
        <w:jc w:val="left"/>
        <w:rPr/>
      </w:pPr>
      <w:r>
        <w:rPr/>
        <w:t>2.3 Макеты экрана мобильного приложения для пяти устройств</w:t>
      </w:r>
    </w:p>
    <w:p>
      <w:pPr>
        <w:pStyle w:val="BodyText"/>
        <w:bidi w:val="0"/>
        <w:rPr/>
      </w:pPr>
      <w:r>
        <w:rPr/>
        <w:t xml:space="preserve">В соответствии с методическими указаниями выбрано пять устройств, включая планшеты. Проектируемый экран — </w:t>
      </w:r>
      <w:r>
        <w:rPr>
          <w:b/>
        </w:rPr>
        <w:t>главная после авторизации</w:t>
      </w:r>
      <w:r>
        <w:rPr/>
        <w:t xml:space="preserve"> с лентой «Специально для вас».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9"/>
        <w:gridCol w:w="1334"/>
        <w:gridCol w:w="1604"/>
        <w:gridCol w:w="1305"/>
        <w:gridCol w:w="3003"/>
      </w:tblGrid>
      <w:tr>
        <w:trPr/>
        <w:tc>
          <w:tcPr>
            <w:tcW w:w="1829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Устройство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Размер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Платформа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Колонок карточек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Особенности</w:t>
            </w:r>
          </w:p>
        </w:tc>
      </w:tr>
      <w:tr>
        <w:trPr/>
        <w:tc>
          <w:tcPr>
            <w:tcW w:w="18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iPhone SE (3rd)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375 × 667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iOS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минимальный кейс; проверка AC-02.1</w:t>
            </w:r>
          </w:p>
        </w:tc>
      </w:tr>
      <w:tr>
        <w:trPr/>
        <w:tc>
          <w:tcPr>
            <w:tcW w:w="18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iPhone 15 Pro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393 × 852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iOS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safe area, Dynamic Island</w:t>
            </w:r>
          </w:p>
        </w:tc>
      </w:tr>
      <w:tr>
        <w:trPr/>
        <w:tc>
          <w:tcPr>
            <w:tcW w:w="18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Pixel 7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412 × 915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Android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Material, системная кнопка «Назад»</w:t>
            </w:r>
          </w:p>
        </w:tc>
      </w:tr>
      <w:tr>
        <w:trPr/>
        <w:tc>
          <w:tcPr>
            <w:tcW w:w="18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iPad mini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744 × 1133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iPadOS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 колонки карточек, side rail</w:t>
            </w:r>
          </w:p>
        </w:tc>
      </w:tr>
      <w:tr>
        <w:trPr/>
        <w:tc>
          <w:tcPr>
            <w:tcW w:w="18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iPad Pro 11"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834 × 1194</w:t>
            </w:r>
          </w:p>
        </w:tc>
        <w:tc>
          <w:tcPr>
            <w:tcW w:w="160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iPadOS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master-detail</w:t>
            </w:r>
          </w:p>
        </w:tc>
      </w:tr>
    </w:tbl>
    <w:p>
      <w:pPr>
        <w:pStyle w:val="BodyText"/>
        <w:bidi w:val="0"/>
        <w:rPr/>
      </w:pPr>
      <w:r>
        <w:rPr/>
        <w:t>Планшеты включены в набор, несмотря на то что основным устройством их назвали лишь 2,2 % респондентов опроса ЛР № 1: планшетные компоновки необходимы кабинету продавца и панели модератора, где обрабатывается от 100 до 200 карточек в день. Таким образом планшет проектируется как рабочая, а не покупательская среда.</w:t>
      </w:r>
    </w:p>
    <w:p>
      <w:pPr>
        <w:pStyle w:val="fig"/>
        <w:bidi w:val="0"/>
        <w:rPr/>
      </w:pPr>
      <w:r>
        <w:rPr/>
        <w:drawing>
          <wp:inline distT="0" distB="0" distL="0" distR="0">
            <wp:extent cx="5687695" cy="4752975"/>
            <wp:effectExtent l="0" t="0" r="0" b="0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695" cy="475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cap"/>
        <w:bidi w:val="0"/>
        <w:rPr/>
      </w:pPr>
      <w:r>
        <w:rPr/>
        <w:t>Рисунок 8 — Главная после авторизации на пяти устройствах</w:t>
      </w:r>
    </w:p>
    <w:p>
      <w:pPr>
        <w:pStyle w:val="BodyText"/>
        <w:bidi w:val="0"/>
        <w:rPr/>
      </w:pPr>
      <w:r>
        <w:rPr/>
        <w:t>Сетка карточек изменяется с двух колонок на смартфонах до трёх на iPad mini и четырёх на iPad Pro. Нижняя панель навигации во всех размерах сохраняет пять пунктов — Главная, Поиск, Избранное, Корзина, Профиль, — как зафиксировано в системе навигации ЛР № 2, п. 2.3; вход в каталог осуществляется с главной и из результатов поиска, чтобы не выходить за предел пяти иконок.</w:t>
      </w:r>
    </w:p>
    <w:p>
      <w:pPr>
        <w:pStyle w:val="BodyText"/>
        <w:bidi w:val="0"/>
        <w:rPr/>
      </w:pPr>
      <w:r>
        <w:rPr/>
        <w:t>Размер интерактивных элементов проверен отдельно. В первой редакции макетов кнопка «В корзину» имела высоту 38 px, а пункт нижней панели — 43 px, что нарушало требование ЛР № 1, п. 2.3 о крупных тач-зонах и рекомендации платформ: не менее 44 pt для iOS и 48 dp для Android. Значения исправлены до 48 px.</w:t>
      </w:r>
    </w:p>
    <w:p>
      <w:pPr>
        <w:pStyle w:val="BodyText"/>
        <w:bidi w:val="0"/>
        <w:rPr/>
      </w:pPr>
      <w:r>
        <w:rPr/>
        <w:t>Поддержана тёмная тема: 58,7 % респондентов опроса ЛР № 1 пользуются приложением вечером с 19:00 до 23:00.</w:t>
      </w:r>
    </w:p>
    <w:p>
      <w:pPr>
        <w:pStyle w:val="fig"/>
        <w:bidi w:val="0"/>
        <w:rPr/>
      </w:pPr>
      <w:r>
        <w:rPr/>
        <w:drawing>
          <wp:inline distT="0" distB="0" distL="0" distR="0">
            <wp:extent cx="5687695" cy="6143625"/>
            <wp:effectExtent l="0" t="0" r="0" b="0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695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cap"/>
        <w:bidi w:val="0"/>
        <w:rPr/>
      </w:pPr>
      <w:r>
        <w:rPr/>
        <w:t>Рисунок 9 — Тёмная тема: каталог и главная</w:t>
      </w:r>
    </w:p>
    <w:p>
      <w:pPr>
        <w:pStyle w:val="Heading3"/>
        <w:bidi w:val="0"/>
        <w:jc w:val="left"/>
        <w:rPr/>
      </w:pPr>
      <w:r>
        <w:rPr/>
        <w:t>2.4 Интерактивный прототип</w:t>
      </w:r>
    </w:p>
    <w:p>
      <w:pPr>
        <w:pStyle w:val="BodyText"/>
        <w:bidi w:val="0"/>
        <w:rPr/>
      </w:pPr>
      <w:r>
        <w:rPr/>
        <w:t>Прототип реализован как связанный набор экранов, открывающийся в браузере. Переходы между экранами — действующие, а не имитированные изображениями; «Ассистент по размеру» открывается всплывающей панелью поверх карточки товара, что соответствует классификации временного интерфейса из ЛР № 2, п. 1.3.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85"/>
        <w:gridCol w:w="1786"/>
        <w:gridCol w:w="2324"/>
        <w:gridCol w:w="2383"/>
        <w:gridCol w:w="2097"/>
      </w:tblGrid>
      <w:tr>
        <w:trPr/>
        <w:tc>
          <w:tcPr>
            <w:tcW w:w="485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№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Экран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Действие</w:t>
            </w:r>
          </w:p>
        </w:tc>
        <w:tc>
          <w:tcPr>
            <w:tcW w:w="238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Переход</w:t>
            </w:r>
          </w:p>
        </w:tc>
        <w:tc>
          <w:tcPr>
            <w:tcW w:w="209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Вариант использования</w:t>
            </w:r>
          </w:p>
        </w:tc>
      </w:tr>
      <w:tr>
        <w:trPr/>
        <w:tc>
          <w:tcPr>
            <w:tcW w:w="48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Вход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«Войти» либо вход по отпечатку</w:t>
            </w:r>
          </w:p>
        </w:tc>
        <w:tc>
          <w:tcPr>
            <w:tcW w:w="23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→ </w:t>
            </w:r>
            <w:r>
              <w:rPr/>
              <w:t>Лента</w:t>
            </w:r>
          </w:p>
        </w:tc>
        <w:tc>
          <w:tcPr>
            <w:tcW w:w="20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UC-20, UC-21</w:t>
            </w:r>
          </w:p>
        </w:tc>
      </w:tr>
      <w:tr>
        <w:trPr/>
        <w:tc>
          <w:tcPr>
            <w:tcW w:w="48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Лента «Специально для вас»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выбор карточки товара</w:t>
            </w:r>
          </w:p>
        </w:tc>
        <w:tc>
          <w:tcPr>
            <w:tcW w:w="23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→ </w:t>
            </w:r>
            <w:r>
              <w:rPr/>
              <w:t>Карточка</w:t>
            </w:r>
          </w:p>
        </w:tc>
        <w:tc>
          <w:tcPr>
            <w:tcW w:w="20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UC-01</w:t>
            </w:r>
          </w:p>
        </w:tc>
      </w:tr>
      <w:tr>
        <w:trPr/>
        <w:tc>
          <w:tcPr>
            <w:tcW w:w="48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Карточка товара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чтение описания из четырёх подблоков</w:t>
            </w:r>
          </w:p>
        </w:tc>
        <w:tc>
          <w:tcPr>
            <w:tcW w:w="23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20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UC-03</w:t>
            </w:r>
          </w:p>
        </w:tc>
      </w:tr>
      <w:tr>
        <w:trPr/>
        <w:tc>
          <w:tcPr>
            <w:tcW w:w="48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Ассистент по размеру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ввод роста и обхвата, получение рекомендации</w:t>
            </w:r>
          </w:p>
        </w:tc>
        <w:tc>
          <w:tcPr>
            <w:tcW w:w="23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всплывающая панель</w:t>
            </w:r>
          </w:p>
        </w:tc>
        <w:tc>
          <w:tcPr>
            <w:tcW w:w="20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UC-04</w:t>
            </w:r>
          </w:p>
        </w:tc>
      </w:tr>
      <w:tr>
        <w:trPr/>
        <w:tc>
          <w:tcPr>
            <w:tcW w:w="48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Карточка товара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«В корзину»</w:t>
            </w:r>
          </w:p>
        </w:tc>
        <w:tc>
          <w:tcPr>
            <w:tcW w:w="23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→ </w:t>
            </w:r>
            <w:r>
              <w:rPr/>
              <w:t>Корзина</w:t>
            </w:r>
          </w:p>
        </w:tc>
        <w:tc>
          <w:tcPr>
            <w:tcW w:w="20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UC-05</w:t>
            </w:r>
          </w:p>
        </w:tc>
      </w:tr>
      <w:tr>
        <w:trPr/>
        <w:tc>
          <w:tcPr>
            <w:tcW w:w="48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Корзина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выбор способа оплаты, «Оформить заказ»</w:t>
            </w:r>
          </w:p>
        </w:tc>
        <w:tc>
          <w:tcPr>
            <w:tcW w:w="23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→ </w:t>
            </w:r>
            <w:r>
              <w:rPr/>
              <w:t>Подтверждение</w:t>
            </w:r>
          </w:p>
        </w:tc>
        <w:tc>
          <w:tcPr>
            <w:tcW w:w="20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UC-06</w:t>
            </w:r>
          </w:p>
        </w:tc>
      </w:tr>
      <w:tr>
        <w:trPr/>
        <w:tc>
          <w:tcPr>
            <w:tcW w:w="48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Заказ оформлен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номер заказа, пункт выдачи, условия возврата</w:t>
            </w:r>
          </w:p>
        </w:tc>
        <w:tc>
          <w:tcPr>
            <w:tcW w:w="23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→ </w:t>
            </w:r>
            <w:r>
              <w:rPr/>
              <w:t>Лента</w:t>
            </w:r>
          </w:p>
        </w:tc>
        <w:tc>
          <w:tcPr>
            <w:tcW w:w="209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UC-23</w:t>
            </w:r>
          </w:p>
        </w:tc>
      </w:tr>
    </w:tbl>
    <w:p>
      <w:pPr>
        <w:pStyle w:val="BodyText"/>
        <w:bidi w:val="0"/>
        <w:rPr/>
      </w:pPr>
      <w:r>
        <w:rPr/>
        <w:t>Соответствие прототипа требованиям предыдущих работ проверено автоматически по тринадцати пунктам: описание размещено выше кнопки «В корзину» (AC-02.1), присутствуют все четыре подблока описания (AC-02.2), отсутствуют термины автоматической генерации (AC-02.6, ОГР-2), параметры размера вводятся непосредственно в ассистенте без перехода в профиль (US-04), срок возврата виден до оформления заказа (US-12), пункт самовывоза предложен по умолчанию, а способы оплаты упорядочены по данным опроса ЛР № 1 — банковская карта первой, ЕРИП третьим. Размер интерактивных элементов во всех экранах не менее 48 px.</w:t>
      </w:r>
    </w:p>
    <w:p>
      <w:pPr>
        <w:pStyle w:val="fig"/>
        <w:bidi w:val="0"/>
        <w:rPr/>
      </w:pPr>
      <w:r>
        <w:rPr/>
        <w:drawing>
          <wp:inline distT="0" distB="0" distL="0" distR="0">
            <wp:extent cx="5687695" cy="4371975"/>
            <wp:effectExtent l="0" t="0" r="0" b="0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695" cy="437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cap"/>
        <w:bidi w:val="0"/>
        <w:rPr/>
      </w:pPr>
      <w:r>
        <w:rPr/>
        <w:t>Рисунок 10 — Экраны интерактивного прототипа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2"/>
        <w:gridCol w:w="1418"/>
        <w:gridCol w:w="4295"/>
      </w:tblGrid>
      <w:tr>
        <w:trPr/>
        <w:tc>
          <w:tcPr>
            <w:tcW w:w="3362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Требование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Источник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Как реализовано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Описание выше кнопки «В корзину»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AC-02.1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блок описания предшествует кнопке в потоке документа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Четыре подблока описания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AC-02.2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состав, посадка, уход, размерная сетка бренда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Незаполненный подблок не остаётся пустым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AC-02.2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выводится строка «Продавец не указал»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Нет терминов генерации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AC-02.6, ОГР-2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 покупательском контуре отсутствуют NLP, LLM, «ИИ-описание»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Ассистент по размеру — временный интерфейс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ЛР № 2, п. 1.3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открывается панелью поверх карточки, не отдельным экраном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Ввод параметров без ухода в профиль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US-04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поля роста и обхвата внутри панели ассистента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Условия возврата до оформления заказа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US-12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срок возврата показан в итоговой сводке корзины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Пункт самовывоза по умолчанию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опрос ЛР № 1, 78,3 %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выбран заранее, доставка бесплатна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Порядок способов оплаты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опрос ЛР № 1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карта онлайн первой (69,6 %), ЕРИП третьим (0 выборов из 46)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Биометрический вход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ЛР № 1, п. 2.3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кнопка входа по отпечатку на экране авторизации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Формат номера заказа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ЛР № 4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MS-2026-000154 по шаблону из физической модели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Нижняя панель навигации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ЛР № 2, п. 2.3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Главная, Поиск, Избранное, Корзина, Профиль</w:t>
            </w:r>
          </w:p>
        </w:tc>
      </w:tr>
      <w:tr>
        <w:trPr/>
        <w:tc>
          <w:tcPr>
            <w:tcW w:w="33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Размер тач-зон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ЛР № 1, п. 2.3</w:t>
            </w:r>
          </w:p>
        </w:tc>
        <w:tc>
          <w:tcPr>
            <w:tcW w:w="42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 менее 48 px на всех экранах</w:t>
            </w:r>
          </w:p>
        </w:tc>
      </w:tr>
    </w:tbl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32"/>
        <w:gridCol w:w="5943"/>
      </w:tblGrid>
      <w:tr>
        <w:trPr/>
        <w:tc>
          <w:tcPr>
            <w:tcW w:w="3132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Что</w:t>
            </w:r>
          </w:p>
        </w:tc>
        <w:tc>
          <w:tcPr>
            <w:tcW w:w="594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Адрес</w:t>
            </w:r>
          </w:p>
        </w:tc>
      </w:tr>
      <w:tr>
        <w:trPr/>
        <w:tc>
          <w:tcPr>
            <w:tcW w:w="31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Интерактивный прототип</w:t>
            </w:r>
          </w:p>
        </w:tc>
        <w:tc>
          <w:tcPr>
            <w:tcW w:w="59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https://fpmi-hci-2026.github.io/hci-10-project-group-1/lab5/mockups/prototype-login.html</w:t>
            </w:r>
          </w:p>
        </w:tc>
      </w:tr>
      <w:tr>
        <w:trPr/>
        <w:tc>
          <w:tcPr>
            <w:tcW w:w="31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Адаптивные макеты каталога</w:t>
            </w:r>
          </w:p>
        </w:tc>
        <w:tc>
          <w:tcPr>
            <w:tcW w:w="59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https://fpmi-hci-2026.github.io/hci-10-project-group-1/lab5/mockups/responsive-catalog.html</w:t>
            </w:r>
          </w:p>
        </w:tc>
      </w:tr>
      <w:tr>
        <w:trPr/>
        <w:tc>
          <w:tcPr>
            <w:tcW w:w="31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Экраны на пяти устройствах</w:t>
            </w:r>
          </w:p>
        </w:tc>
        <w:tc>
          <w:tcPr>
            <w:tcW w:w="59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https://fpmi-hci-2026.github.io/hci-10-project-group-1/lab5/mockups/devices.html</w:t>
            </w:r>
          </w:p>
        </w:tc>
      </w:tr>
      <w:tr>
        <w:trPr/>
        <w:tc>
          <w:tcPr>
            <w:tcW w:w="31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Макеты в Figma</w:t>
            </w:r>
          </w:p>
        </w:tc>
        <w:tc>
          <w:tcPr>
            <w:tcW w:w="59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https://www.figma.com/design/DIsarmkx75gQIm7ncRLsAZ/МаркетШоп</w:t>
            </w:r>
          </w:p>
        </w:tc>
      </w:tr>
    </w:tbl>
    <w:p>
      <w:pPr>
        <w:pStyle w:val="BodyText"/>
        <w:bidi w:val="0"/>
        <w:rPr/>
      </w:pPr>
      <w:r>
        <w:rPr/>
        <w:t>Дополнительно разработано техническое задание на сборку прототипа в Figma (</w:t>
      </w:r>
      <w:r>
        <w:rPr>
          <w:rStyle w:val="Style10"/>
        </w:rPr>
        <w:t>prototype/figma-spec.md</w:t>
      </w:r>
      <w:r>
        <w:rPr/>
        <w:t>): структура файла, коллекции переменных, 21 компонент с перечнем состояний и карта переходов с шестью ветвями отказа, соответствующими кодам ответа API из ЛР № 4 — 422 с перечнем недостающих атрибутов, 409 при заблокированном описании, 409 при попытке захватить взятую задачу модерации, 503 при недоступности сервиса генерации, 401 при истёкшем токене и 413 при превышении размера партии.</w:t>
      </w:r>
    </w:p>
    <w:p>
      <w:pPr>
        <w:pStyle w:val="Heading2"/>
        <w:bidi w:val="0"/>
        <w:jc w:val="left"/>
        <w:rPr/>
      </w:pPr>
      <w:r>
        <w:rPr/>
        <w:t>3 Руководства по стилям</w:t>
      </w:r>
    </w:p>
    <w:p>
      <w:pPr>
        <w:pStyle w:val="BodyText"/>
        <w:bidi w:val="0"/>
        <w:rPr/>
      </w:pPr>
      <w:r>
        <w:rPr/>
        <w:t xml:space="preserve">Разработаны два руководства — для веб- и для мобильного приложения. Оба собираются скриптом </w:t>
      </w:r>
      <w:r>
        <w:rPr>
          <w:rStyle w:val="Style10"/>
        </w:rPr>
        <w:t>tools/gen_style_guide.py</w:t>
      </w:r>
      <w:r>
        <w:rPr/>
        <w:t xml:space="preserve"> из </w:t>
      </w:r>
      <w:r>
        <w:rPr>
          <w:rStyle w:val="Style10"/>
        </w:rPr>
        <w:t>design/tokens.json</w:t>
      </w:r>
      <w:r>
        <w:rPr/>
        <w:t>, поэтому значения цветов и размеров в руководстве, в макетах и в переменных Figma совпадают по построению.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8"/>
        <w:gridCol w:w="5867"/>
      </w:tblGrid>
      <w:tr>
        <w:trPr/>
        <w:tc>
          <w:tcPr>
            <w:tcW w:w="320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Раздел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Содержание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Логотип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построение, охранное поле, минимальный размер, запреты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Цвет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31 токенов в светлой и тёмной темах, отчёт о контрасте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Статусы описания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6 бейджей по числу значений перечисления </w:t>
            </w:r>
            <w:r>
              <w:rPr>
                <w:rStyle w:val="Style10"/>
              </w:rPr>
              <w:t>description.status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Уверенность генератора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 дискретных уровня, скрытые от покупателя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Типографика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9 ступеней шкалы, Inter и Manrope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Сетка и отступы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 брейкпоинтов, шаг 8 pt, шкала радиусов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Компоненты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21 компонент с вариантами и состояниями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Обработка ошибок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9 кодов ответа API, формат RFC 9457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Тон голоса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готовая микрокопия, запрещённые формулировки и термины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Видимость по контурам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что показывается покупателю, продавцу, модератору, администратору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Фотографии товара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соотношение, фон, обязательные кадры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Движение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три длительности, поведение при «уменьшить движение»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Доступность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контраст, размеры текста, фокус, тач-зоны</w:t>
            </w:r>
          </w:p>
        </w:tc>
      </w:tr>
      <w:tr>
        <w:trPr/>
        <w:tc>
          <w:tcPr>
            <w:tcW w:w="320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Платформенные различия</w:t>
            </w:r>
          </w:p>
        </w:tc>
        <w:tc>
          <w:tcPr>
            <w:tcW w:w="586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iOS и Android: гарнитуры, навигация, жесты (только мобильное)</w:t>
            </w:r>
          </w:p>
        </w:tc>
      </w:tr>
    </w:tbl>
    <w:p>
      <w:pPr>
        <w:pStyle w:val="Heading4"/>
        <w:bidi w:val="0"/>
        <w:rPr/>
      </w:pPr>
      <w:r>
        <w:rPr/>
        <w:t>Типографика</w:t>
      </w:r>
    </w:p>
    <w:p>
      <w:pPr>
        <w:pStyle w:val="BodyText"/>
        <w:bidi w:val="0"/>
        <w:rPr/>
      </w:pPr>
      <w:r>
        <w:rPr/>
        <w:t xml:space="preserve">Гарнитура основного текста — </w:t>
      </w:r>
      <w:r>
        <w:rPr>
          <w:b/>
        </w:rPr>
        <w:t>Inter</w:t>
      </w:r>
      <w:r>
        <w:rPr/>
        <w:t xml:space="preserve">, логотипа — </w:t>
      </w:r>
      <w:r>
        <w:rPr>
          <w:b/>
        </w:rPr>
        <w:t>Manrope ExtraBold</w:t>
      </w:r>
      <w:r>
        <w:rPr/>
        <w:t>. Inter выбран за крупные строчные знаки: в карточке товара много мелкого текста — состав ткани, правила ухода, размерная сетка, — и на 13–14 px разборчивость критична. Дополнительное основание — персонаж Ольга Петровна из ЛР № 1, 48 лет, предпочитающая крупный шрифт; минимальный размер основного текста установлен в 16 px.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14"/>
        <w:gridCol w:w="1227"/>
        <w:gridCol w:w="1916"/>
        <w:gridCol w:w="1653"/>
        <w:gridCol w:w="3065"/>
      </w:tblGrid>
      <w:tr>
        <w:trPr/>
        <w:tc>
          <w:tcPr>
            <w:tcW w:w="121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Ступень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Размер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Интерлиньяж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Начертание</w:t>
            </w:r>
          </w:p>
        </w:tc>
        <w:tc>
          <w:tcPr>
            <w:tcW w:w="3065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Применение</w:t>
            </w:r>
          </w:p>
        </w:tc>
      </w:tr>
      <w:tr>
        <w:trPr/>
        <w:tc>
          <w:tcPr>
            <w:tcW w:w="12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h1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40 px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48 px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700</w:t>
            </w:r>
          </w:p>
        </w:tc>
        <w:tc>
          <w:tcPr>
            <w:tcW w:w="30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заголовок страницы</w:t>
            </w:r>
          </w:p>
        </w:tc>
      </w:tr>
      <w:tr>
        <w:trPr/>
        <w:tc>
          <w:tcPr>
            <w:tcW w:w="12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h2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30 px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38 px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700</w:t>
            </w:r>
          </w:p>
        </w:tc>
        <w:tc>
          <w:tcPr>
            <w:tcW w:w="30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заголовок раздела</w:t>
            </w:r>
          </w:p>
        </w:tc>
      </w:tr>
      <w:tr>
        <w:trPr/>
        <w:tc>
          <w:tcPr>
            <w:tcW w:w="12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h3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24 px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32 px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600</w:t>
            </w:r>
          </w:p>
        </w:tc>
        <w:tc>
          <w:tcPr>
            <w:tcW w:w="30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заголовок блока</w:t>
            </w:r>
          </w:p>
        </w:tc>
      </w:tr>
      <w:tr>
        <w:trPr/>
        <w:tc>
          <w:tcPr>
            <w:tcW w:w="12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h4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19 px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26 px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600</w:t>
            </w:r>
          </w:p>
        </w:tc>
        <w:tc>
          <w:tcPr>
            <w:tcW w:w="30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подзаголовок</w:t>
            </w:r>
          </w:p>
        </w:tc>
      </w:tr>
      <w:tr>
        <w:trPr/>
        <w:tc>
          <w:tcPr>
            <w:tcW w:w="12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body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16 px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24 px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400</w:t>
            </w:r>
          </w:p>
        </w:tc>
        <w:tc>
          <w:tcPr>
            <w:tcW w:w="30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основной текст, минимум для чтения</w:t>
            </w:r>
          </w:p>
        </w:tc>
      </w:tr>
      <w:tr>
        <w:trPr/>
        <w:tc>
          <w:tcPr>
            <w:tcW w:w="12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body-sm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14 px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20 px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400</w:t>
            </w:r>
          </w:p>
        </w:tc>
        <w:tc>
          <w:tcPr>
            <w:tcW w:w="30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описание в карточке</w:t>
            </w:r>
          </w:p>
        </w:tc>
      </w:tr>
      <w:tr>
        <w:trPr/>
        <w:tc>
          <w:tcPr>
            <w:tcW w:w="12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caption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13 px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18 px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400</w:t>
            </w:r>
          </w:p>
        </w:tc>
        <w:tc>
          <w:tcPr>
            <w:tcW w:w="30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подписи, метаданные</w:t>
            </w:r>
          </w:p>
        </w:tc>
      </w:tr>
      <w:tr>
        <w:trPr/>
        <w:tc>
          <w:tcPr>
            <w:tcW w:w="12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label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13 px</w:t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16 px</w:t>
            </w:r>
          </w:p>
        </w:tc>
        <w:tc>
          <w:tcPr>
            <w:tcW w:w="165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600</w:t>
            </w:r>
          </w:p>
        </w:tc>
        <w:tc>
          <w:tcPr>
            <w:tcW w:w="30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метки полей, прописные</w:t>
            </w:r>
          </w:p>
        </w:tc>
      </w:tr>
    </w:tbl>
    <w:p>
      <w:pPr>
        <w:pStyle w:val="Heading4"/>
        <w:bidi w:val="0"/>
        <w:rPr/>
      </w:pPr>
      <w:r>
        <w:rPr/>
        <w:t>Статусы описания товара</w:t>
      </w:r>
    </w:p>
    <w:p>
      <w:pPr>
        <w:pStyle w:val="BodyText"/>
        <w:bidi w:val="0"/>
        <w:rPr/>
      </w:pPr>
      <w:r>
        <w:rPr/>
        <w:t xml:space="preserve">Перечень состояний не придуман, а выведен из физической модели ЛР № 4: поле </w:t>
      </w:r>
      <w:r>
        <w:rPr>
          <w:rStyle w:val="Style10"/>
        </w:rPr>
        <w:t>description.status</w:t>
      </w:r>
      <w:r>
        <w:rPr/>
        <w:t xml:space="preserve"> объявлено перечислением ровно из шести значений. Следовательно, бейджей в интерфейсе тоже ровно шесть — седьмого состояния система иметь не может.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51"/>
        <w:gridCol w:w="2465"/>
        <w:gridCol w:w="1735"/>
        <w:gridCol w:w="2324"/>
      </w:tblGrid>
      <w:tr>
        <w:trPr/>
        <w:tc>
          <w:tcPr>
            <w:tcW w:w="255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Значение</w:t>
            </w:r>
          </w:p>
        </w:tc>
        <w:tc>
          <w:tcPr>
            <w:tcW w:w="2465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Подпись в интерфейсе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Цвет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В каком контуре</w:t>
            </w:r>
          </w:p>
        </w:tc>
      </w:tr>
      <w:tr>
        <w:trPr/>
        <w:tc>
          <w:tcPr>
            <w:tcW w:w="25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incomplete</w:t>
            </w:r>
          </w:p>
        </w:tc>
        <w:tc>
          <w:tcPr>
            <w:tcW w:w="24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Не хватает атрибутов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warning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продавец</w:t>
            </w:r>
          </w:p>
        </w:tc>
      </w:tr>
      <w:tr>
        <w:trPr/>
        <w:tc>
          <w:tcPr>
            <w:tcW w:w="25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draft</w:t>
            </w:r>
          </w:p>
        </w:tc>
        <w:tc>
          <w:tcPr>
            <w:tcW w:w="24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Черновик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text-muted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продавец</w:t>
            </w:r>
          </w:p>
        </w:tc>
      </w:tr>
      <w:tr>
        <w:trPr/>
        <w:tc>
          <w:tcPr>
            <w:tcW w:w="25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pending_moderation</w:t>
            </w:r>
          </w:p>
        </w:tc>
        <w:tc>
          <w:tcPr>
            <w:tcW w:w="24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На модерации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info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продавец, модератор</w:t>
            </w:r>
          </w:p>
        </w:tc>
      </w:tr>
      <w:tr>
        <w:trPr/>
        <w:tc>
          <w:tcPr>
            <w:tcW w:w="25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blocked</w:t>
            </w:r>
          </w:p>
        </w:tc>
        <w:tc>
          <w:tcPr>
            <w:tcW w:w="24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Заблокировано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error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продавец, модератор</w:t>
            </w:r>
          </w:p>
        </w:tc>
      </w:tr>
      <w:tr>
        <w:trPr/>
        <w:tc>
          <w:tcPr>
            <w:tcW w:w="25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returned</w:t>
            </w:r>
          </w:p>
        </w:tc>
        <w:tc>
          <w:tcPr>
            <w:tcW w:w="24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Возвращено на правку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on-accent-soft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продавец</w:t>
            </w:r>
          </w:p>
        </w:tc>
      </w:tr>
      <w:tr>
        <w:trPr/>
        <w:tc>
          <w:tcPr>
            <w:tcW w:w="255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published</w:t>
            </w:r>
          </w:p>
        </w:tc>
        <w:tc>
          <w:tcPr>
            <w:tcW w:w="24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Опубликовано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success</w:t>
            </w:r>
          </w:p>
        </w:tc>
        <w:tc>
          <w:tcPr>
            <w:tcW w:w="23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продавец, модератор, администратор</w:t>
            </w:r>
          </w:p>
        </w:tc>
      </w:tr>
    </w:tbl>
    <w:p>
      <w:pPr>
        <w:pStyle w:val="BodyText"/>
        <w:bidi w:val="0"/>
        <w:rPr/>
      </w:pPr>
      <w:r>
        <w:rPr/>
        <w:t xml:space="preserve">Аналогично уровень уверенности генератора </w:t>
      </w:r>
      <w:r>
        <w:rPr>
          <w:rStyle w:val="Style10"/>
        </w:rPr>
        <w:t>description.confidence</w:t>
      </w:r>
      <w:r>
        <w:rPr/>
        <w:t xml:space="preserve"> — три дискретных значения, а не процентная шкала; в очереди модерации они задают порядок проверки, а покупателю не показываются вовсе.</w:t>
      </w:r>
    </w:p>
    <w:p>
      <w:pPr>
        <w:pStyle w:val="Heading4"/>
        <w:bidi w:val="0"/>
        <w:rPr/>
      </w:pPr>
      <w:r>
        <w:rPr/>
        <w:t>Состояния ошибки</w:t>
      </w:r>
    </w:p>
    <w:p>
      <w:pPr>
        <w:pStyle w:val="BodyText"/>
        <w:bidi w:val="0"/>
        <w:rPr/>
      </w:pPr>
      <w:r>
        <w:rPr/>
        <w:t>Перечень состояний ошибки получен из таблицы кодов ответа API ЛР № 4. Такой подход гарантирует полноту: интерфейс спроектирован под все состояния, в которых система действительно может оказаться.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3"/>
        <w:gridCol w:w="1412"/>
        <w:gridCol w:w="6480"/>
      </w:tblGrid>
      <w:tr>
        <w:trPr/>
        <w:tc>
          <w:tcPr>
            <w:tcW w:w="118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Код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Операций в 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Способ показа</w:t>
            </w:r>
          </w:p>
        </w:tc>
      </w:tr>
      <w:tr>
        <w:trPr/>
        <w:tc>
          <w:tcPr>
            <w:tcW w:w="11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401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47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модальное окно входа; после авторизации возврат к прерванному действию</w:t>
            </w:r>
          </w:p>
        </w:tc>
      </w:tr>
      <w:tr>
        <w:trPr/>
        <w:tc>
          <w:tcPr>
            <w:tcW w:w="11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404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24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экран «Не найдено». Чужой ресурс отдаёт 404, а не 403 — интерфейс не должен подтверждать существование объекта</w:t>
            </w:r>
          </w:p>
        </w:tc>
      </w:tr>
      <w:tr>
        <w:trPr/>
        <w:tc>
          <w:tcPr>
            <w:tcW w:w="11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400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16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подсветка поля формы и подпись под ним</w:t>
            </w:r>
          </w:p>
        </w:tc>
      </w:tr>
      <w:tr>
        <w:trPr/>
        <w:tc>
          <w:tcPr>
            <w:tcW w:w="11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409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15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баннер с текстом из поля detail</w:t>
            </w:r>
          </w:p>
        </w:tc>
      </w:tr>
      <w:tr>
        <w:trPr/>
        <w:tc>
          <w:tcPr>
            <w:tcW w:w="11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403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14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баннер в теле страницы: пользователь не может это исправить, модальное окно было бы навязчивым</w:t>
            </w:r>
          </w:p>
        </w:tc>
      </w:tr>
      <w:tr>
        <w:trPr/>
        <w:tc>
          <w:tcPr>
            <w:tcW w:w="11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422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12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подсветка полей из массива missing и общий баннер</w:t>
            </w:r>
          </w:p>
        </w:tc>
      </w:tr>
      <w:tr>
        <w:trPr/>
        <w:tc>
          <w:tcPr>
            <w:tcW w:w="11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429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уведомление с обратным отсчётом</w:t>
            </w:r>
          </w:p>
        </w:tc>
      </w:tr>
      <w:tr>
        <w:trPr/>
        <w:tc>
          <w:tcPr>
            <w:tcW w:w="11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413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ошибка у поля загрузки: партия не более 20 позиций, файл не более 10 МБ</w:t>
            </w:r>
          </w:p>
        </w:tc>
      </w:tr>
      <w:tr>
        <w:trPr/>
        <w:tc>
          <w:tcPr>
            <w:tcW w:w="118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503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отдельное состояние кнопки «Сгенерировать описание»</w:t>
            </w:r>
          </w:p>
        </w:tc>
      </w:tr>
    </w:tbl>
    <w:p>
      <w:pPr>
        <w:pStyle w:val="BodyText"/>
        <w:bidi w:val="0"/>
        <w:rPr/>
      </w:pPr>
      <w:r>
        <w:rPr/>
        <w:t>Два раздела заслуживают отдельного пояснения, поскольку выведены из моделей ЛР № 4, а не из общих рекомендаций по оформлению.</w:t>
      </w:r>
    </w:p>
    <w:p>
      <w:pPr>
        <w:pStyle w:val="Heading3"/>
        <w:bidi w:val="0"/>
        <w:jc w:val="left"/>
        <w:rPr/>
      </w:pPr>
      <w:r>
        <w:rPr/>
        <w:t>3.1 Трассируемость в код</w:t>
      </w:r>
    </w:p>
    <w:p>
      <w:pPr>
        <w:pStyle w:val="BodyText"/>
        <w:bidi w:val="0"/>
        <w:rPr/>
      </w:pPr>
      <w:r>
        <w:rPr/>
        <w:t>Имена токенов (</w:t>
      </w:r>
      <w:r>
        <w:rPr>
          <w:rStyle w:val="Style10"/>
        </w:rPr>
        <w:t>brand</w:t>
      </w:r>
      <w:r>
        <w:rPr/>
        <w:t xml:space="preserve">, </w:t>
      </w:r>
      <w:r>
        <w:rPr>
          <w:rStyle w:val="Style10"/>
        </w:rPr>
        <w:t>accent</w:t>
      </w:r>
      <w:r>
        <w:rPr/>
        <w:t xml:space="preserve">, </w:t>
      </w:r>
      <w:r>
        <w:rPr>
          <w:rStyle w:val="Style10"/>
        </w:rPr>
        <w:t>on-accent</w:t>
      </w:r>
      <w:r>
        <w:rPr/>
        <w:t xml:space="preserve">, </w:t>
      </w:r>
      <w:r>
        <w:rPr>
          <w:rStyle w:val="Style10"/>
        </w:rPr>
        <w:t>surface</w:t>
      </w:r>
      <w:r>
        <w:rPr/>
        <w:t xml:space="preserve">, </w:t>
      </w:r>
      <w:r>
        <w:rPr>
          <w:rStyle w:val="Style10"/>
        </w:rPr>
        <w:t>text-muted</w:t>
      </w:r>
      <w:r>
        <w:rPr/>
        <w:t xml:space="preserve"> и прочие) одинаковы в </w:t>
      </w:r>
      <w:r>
        <w:rPr>
          <w:rStyle w:val="Style10"/>
        </w:rPr>
        <w:t>design/tokens.json</w:t>
      </w:r>
      <w:r>
        <w:rPr/>
        <w:t>, в CSS-переменных макетов и в коллекциях переменных Figma. Соответствие дизайна и реализации не требует перевода: разработчик фронтенда использует то же имя, что указано в руководстве.</w:t>
      </w:r>
    </w:p>
    <w:p>
      <w:pPr>
        <w:pStyle w:val="BodyText"/>
        <w:bidi w:val="0"/>
        <w:rPr/>
      </w:pPr>
      <w:r>
        <w:rPr/>
        <w:t xml:space="preserve">Выбранная по результатам теста палитра — </w:t>
      </w:r>
      <w:r>
        <w:rPr>
          <w:b/>
        </w:rPr>
        <w:t>Вариант C «Тёплый локальный»</w:t>
      </w:r>
      <w:r>
        <w:rPr/>
        <w:t xml:space="preserve">: шапка и глобальная навигация </w:t>
      </w:r>
      <w:r>
        <w:rPr>
          <w:rStyle w:val="Style10"/>
        </w:rPr>
        <w:t>#3E3228</w:t>
      </w:r>
      <w:r>
        <w:rPr/>
        <w:t xml:space="preserve">, кнопка ключевого действия </w:t>
      </w:r>
      <w:r>
        <w:rPr>
          <w:rStyle w:val="Style10"/>
        </w:rPr>
        <w:t>#A8462A</w:t>
      </w:r>
      <w:r>
        <w:rPr/>
        <w:t xml:space="preserve">, фон </w:t>
      </w:r>
      <w:r>
        <w:rPr>
          <w:rStyle w:val="Style10"/>
        </w:rPr>
        <w:t>#FAF6EF</w:t>
      </w:r>
      <w:r>
        <w:rPr/>
        <w:t xml:space="preserve">, декоративный оттенок </w:t>
      </w:r>
      <w:r>
        <w:rPr>
          <w:rStyle w:val="Style10"/>
        </w:rPr>
        <w:t>#7A8450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4 Планирование этапа концептуального проектирования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21"/>
        <w:gridCol w:w="3252"/>
        <w:gridCol w:w="3229"/>
        <w:gridCol w:w="1873"/>
      </w:tblGrid>
      <w:tr>
        <w:trPr/>
        <w:tc>
          <w:tcPr>
            <w:tcW w:w="72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Шаг</w:t>
            </w:r>
          </w:p>
        </w:tc>
        <w:tc>
          <w:tcPr>
            <w:tcW w:w="3252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Содержание</w:t>
            </w:r>
          </w:p>
        </w:tc>
        <w:tc>
          <w:tcPr>
            <w:tcW w:w="3229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Результат</w:t>
            </w:r>
          </w:p>
        </w:tc>
        <w:tc>
          <w:tcPr>
            <w:tcW w:w="187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Исполнитель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325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Анализ шаблонов и методик тестирования визуального дизайна</w:t>
            </w:r>
          </w:p>
        </w:tc>
        <w:tc>
          <w:tcPr>
            <w:tcW w:w="32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таблица решений, выбор метода</w:t>
            </w:r>
          </w:p>
        </w:tc>
        <w:tc>
          <w:tcPr>
            <w:tcW w:w="18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Шепко В.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325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Разработка пар прилагательных и целевого профиля</w:t>
            </w:r>
          </w:p>
        </w:tc>
        <w:tc>
          <w:tcPr>
            <w:tcW w:w="32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15 пар, обоснование по ЛР № 1 — ЛР № 4</w:t>
            </w:r>
          </w:p>
        </w:tc>
        <w:tc>
          <w:tcPr>
            <w:tcW w:w="18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Харченко А.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325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Подготовка цветовых схем и проверка контраста</w:t>
            </w:r>
          </w:p>
        </w:tc>
        <w:tc>
          <w:tcPr>
            <w:tcW w:w="32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3 палитры, 126 проверенных пар</w:t>
            </w:r>
          </w:p>
        </w:tc>
        <w:tc>
          <w:tcPr>
            <w:tcW w:w="18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Харченко А.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325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Сборка макетов для исследования</w:t>
            </w:r>
          </w:p>
        </w:tc>
        <w:tc>
          <w:tcPr>
            <w:tcW w:w="32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 макетов из одной разметки, фиксация версии</w:t>
            </w:r>
          </w:p>
        </w:tc>
        <w:tc>
          <w:tcPr>
            <w:tcW w:w="18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Степук А.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325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Проведение теста и обработка результатов</w:t>
            </w:r>
          </w:p>
        </w:tc>
        <w:tc>
          <w:tcPr>
            <w:tcW w:w="32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11 анкет, 4 диаграммы-профиля, выбор варианта</w:t>
            </w:r>
          </w:p>
        </w:tc>
        <w:tc>
          <w:tcPr>
            <w:tcW w:w="18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Харченко А.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325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Адаптивные макеты и макеты устройств</w:t>
            </w:r>
          </w:p>
        </w:tc>
        <w:tc>
          <w:tcPr>
            <w:tcW w:w="32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6 разрешений, 5 устройств</w:t>
            </w:r>
          </w:p>
        </w:tc>
        <w:tc>
          <w:tcPr>
            <w:tcW w:w="18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Шепко В.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325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Руководства по стилям</w:t>
            </w:r>
          </w:p>
        </w:tc>
        <w:tc>
          <w:tcPr>
            <w:tcW w:w="32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 документа, 33 раздела</w:t>
            </w:r>
          </w:p>
        </w:tc>
        <w:tc>
          <w:tcPr>
            <w:tcW w:w="18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Степук А.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325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Техническое задание на прототип и сборка в Figma</w:t>
            </w:r>
          </w:p>
        </w:tc>
        <w:tc>
          <w:tcPr>
            <w:tcW w:w="32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ТЗ, карта переходов, интерактивный прототип</w:t>
            </w:r>
          </w:p>
        </w:tc>
        <w:tc>
          <w:tcPr>
            <w:tcW w:w="187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Шепко В., Степук А.</w:t>
            </w:r>
          </w:p>
        </w:tc>
      </w:tr>
    </w:tbl>
    <w:p>
      <w:pPr>
        <w:pStyle w:val="BodyText"/>
        <w:bidi w:val="0"/>
        <w:rPr/>
      </w:pPr>
      <w:r>
        <w:rPr/>
        <w:t>Последовательность шагов определяется зависимостями по данным: цветовые схемы нельзя подготовить до определения целевого профиля, макеты для исследования — до утверждения схем, а руководства по стилям и прототип — до выбора варианта по результатам теста. Шаги 1 и 2 выполнялись параллельно, равно как шаги 6 и 7 после получения результатов.</w:t>
      </w:r>
    </w:p>
    <w:p>
      <w:pPr>
        <w:pStyle w:val="BodyText"/>
        <w:bidi w:val="0"/>
        <w:rPr/>
      </w:pPr>
      <w:r>
        <w:rPr/>
        <w:t>Решение строить все артефакты из общего набора токенов принято на шаге 3 и позволило выполнить шаг 7 без переработки: смена палитры по результатам теста свелась к перегенерации документов.</w:t>
      </w:r>
    </w:p>
    <w:p>
      <w:pPr>
        <w:pStyle w:val="Heading2"/>
        <w:bidi w:val="0"/>
        <w:jc w:val="left"/>
        <w:rPr/>
      </w:pPr>
      <w:r>
        <w:rPr/>
        <w:t>Выходные документы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481"/>
        <w:gridCol w:w="4594"/>
      </w:tblGrid>
      <w:tr>
        <w:trPr/>
        <w:tc>
          <w:tcPr>
            <w:tcW w:w="448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Требование методических указаний</w:t>
            </w:r>
          </w:p>
        </w:tc>
        <w:tc>
          <w:tcPr>
            <w:tcW w:w="4594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Артефакт</w:t>
            </w:r>
          </w:p>
        </w:tc>
      </w:tr>
      <w:tr>
        <w:trPr/>
        <w:tc>
          <w:tcPr>
            <w:tcW w:w="448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2–3 вида дизайн-макета веб- и мобильного приложения</w:t>
            </w:r>
          </w:p>
        </w:tc>
        <w:tc>
          <w:tcPr>
            <w:tcW w:w="45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mockups/visual-language.html</w:t>
            </w:r>
            <w:r>
              <w:rPr/>
              <w:t xml:space="preserve"> — 3 варианта × 2 экрана</w:t>
            </w:r>
          </w:p>
        </w:tc>
      </w:tr>
      <w:tr>
        <w:trPr/>
        <w:tc>
          <w:tcPr>
            <w:tcW w:w="448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Результаты исследования визуального языка</w:t>
            </w:r>
          </w:p>
        </w:tc>
        <w:tc>
          <w:tcPr>
            <w:tcW w:w="45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research/results.md</w:t>
            </w:r>
            <w:r>
              <w:rPr/>
              <w:t xml:space="preserve">, </w:t>
            </w:r>
            <w:r>
              <w:rPr>
                <w:rStyle w:val="Style10"/>
              </w:rPr>
              <w:t>research/charts/profile-*.svg</w:t>
            </w:r>
          </w:p>
        </w:tc>
      </w:tr>
      <w:tr>
        <w:trPr/>
        <w:tc>
          <w:tcPr>
            <w:tcW w:w="448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Макеты страницы и экрана под разные разрешения</w:t>
            </w:r>
          </w:p>
        </w:tc>
        <w:tc>
          <w:tcPr>
            <w:tcW w:w="45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mockups/catalog.html</w:t>
            </w:r>
            <w:r>
              <w:rPr/>
              <w:t xml:space="preserve">, </w:t>
            </w:r>
            <w:r>
              <w:rPr>
                <w:rStyle w:val="Style10"/>
              </w:rPr>
              <w:t>mockups/responsive-catalog.html</w:t>
            </w:r>
            <w:r>
              <w:rPr/>
              <w:t xml:space="preserve">, </w:t>
            </w:r>
            <w:r>
              <w:rPr>
                <w:rStyle w:val="Style10"/>
              </w:rPr>
              <w:t>mockups/mobile-home.html</w:t>
            </w:r>
            <w:r>
              <w:rPr/>
              <w:t xml:space="preserve">, </w:t>
            </w:r>
            <w:r>
              <w:rPr>
                <w:rStyle w:val="Style10"/>
              </w:rPr>
              <w:t>mockups/devices.html</w:t>
            </w:r>
          </w:p>
        </w:tc>
      </w:tr>
      <w:tr>
        <w:trPr/>
        <w:tc>
          <w:tcPr>
            <w:tcW w:w="448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Концептуальные макеты: интерактивные прототипы</w:t>
            </w:r>
          </w:p>
        </w:tc>
        <w:tc>
          <w:tcPr>
            <w:tcW w:w="45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prototype/figma-spec.md</w:t>
            </w:r>
            <w:r>
              <w:rPr/>
              <w:t xml:space="preserve">, </w:t>
            </w:r>
            <w:r>
              <w:rPr>
                <w:rStyle w:val="Style10"/>
              </w:rPr>
              <w:t>prototype/transitions.mmd</w:t>
            </w:r>
            <w:r>
              <w:rPr/>
              <w:t>, ссылка на Figma</w:t>
            </w:r>
          </w:p>
        </w:tc>
      </w:tr>
      <w:tr>
        <w:trPr/>
        <w:tc>
          <w:tcPr>
            <w:tcW w:w="448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Руководства по стилям для мобильного и веб-приложения</w:t>
            </w:r>
          </w:p>
        </w:tc>
        <w:tc>
          <w:tcPr>
            <w:tcW w:w="45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style-guide/web.md</w:t>
            </w:r>
            <w:r>
              <w:rPr/>
              <w:t xml:space="preserve">, </w:t>
            </w:r>
            <w:r>
              <w:rPr>
                <w:rStyle w:val="Style10"/>
              </w:rPr>
              <w:t>style-guide/mobile.md</w:t>
            </w:r>
          </w:p>
        </w:tc>
      </w:tr>
      <w:tr>
        <w:trPr/>
        <w:tc>
          <w:tcPr>
            <w:tcW w:w="448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Отчёт с планированием этапа и описанием шагов</w:t>
            </w:r>
          </w:p>
        </w:tc>
        <w:tc>
          <w:tcPr>
            <w:tcW w:w="459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настоящий документ</w:t>
            </w:r>
          </w:p>
        </w:tc>
      </w:tr>
    </w:tbl>
    <w:p>
      <w:pPr>
        <w:pStyle w:val="Heading2"/>
        <w:bidi w:val="0"/>
        <w:jc w:val="left"/>
        <w:rPr/>
      </w:pPr>
      <w:r>
        <w:rPr/>
        <w:t>Заключение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firstLine="426" w:left="709"/>
        <w:rPr/>
      </w:pPr>
      <w:r>
        <w:rPr/>
        <w:t>Исследован визуальный язык продукта. Составлен список из 15 пар прилагательных с целевым профилем, обоснованным данными ЛР № 1 — ЛР № 4 и заданным до проведения теста. Подготовлены три цветовых варианта, различающиеся исключительно значениями токенов.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firstLine="426" w:left="709"/>
        <w:rPr/>
      </w:pPr>
      <w:r>
        <w:rPr/>
        <w:t>Проведён тест с 11 респондентами, состав выборки соответствует группам пользователей из ЛР № 1. Выбран вариант Вариант C «Тёплый локальный» с взвешенным отклонением 9.77 против 10.77 и 13.05 у остальных. Результат подтверждён контрольным вопросом (6 из 11) и проверен на устойчивость к эффекту порядка.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firstLine="426" w:left="709"/>
        <w:rPr/>
      </w:pPr>
      <w:r>
        <w:rPr/>
        <w:t>Цветовая концепция, предложенная в ЛР № 2, по результатам теста заняла последнее место и заменена. Дополнительно установлено, что её акцентный цвет не удовлетворял требованию WCAG по контрасту. Проектное решение, принятое ранее без проверки, скорректировано эмпирическими данными.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firstLine="426" w:left="709"/>
        <w:rPr/>
      </w:pPr>
      <w:r>
        <w:rPr/>
        <w:t>Разработаны адаптивные макеты каталога для шести разрешений и макеты главного экрана для пяти устройств, включая планшеты. Макеты реализованы единой отзывчивой разметкой; каждое состояние проверено измерением фактических значений в браузере.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firstLine="426" w:left="709"/>
        <w:rPr/>
      </w:pPr>
      <w:r>
        <w:rPr/>
        <w:t>Разработаны руководства по стилям для веб- и мобильного приложения. Перечень состояний компонентов выведен из кодов ответа API и перечислений базы данных ЛР № 4, а не составлен произвольно, что обеспечивает полноту покрытия состояний системы.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firstLine="426" w:left="709"/>
        <w:rPr/>
      </w:pPr>
      <w:r>
        <w:rPr/>
        <w:t>Все артефакты генерируются из общего набора токенов, поэтому макеты, руководства по стилям и настоящий отчёт согласованы между собой по построению.</w:t>
      </w:r>
    </w:p>
    <w:p>
      <w:pPr>
        <w:pStyle w:val="Heading2"/>
        <w:bidi w:val="0"/>
        <w:jc w:val="left"/>
        <w:rPr/>
      </w:pPr>
      <w:r>
        <w:rPr/>
        <w:t>Список использованных источников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firstLine="426" w:left="709"/>
        <w:rPr/>
      </w:pPr>
      <w:r>
        <w:rPr/>
        <w:t>Давидовская, М. И. Проектирование прототипа приложения : методические указания по выполнению лабораторной работы № 5 / М. И. Давидовская. — Минск : БГУ, 2024.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firstLine="426" w:left="709"/>
        <w:rPr/>
      </w:pPr>
      <w:r>
        <w:rPr/>
        <w:t>Харченко, А. Лабораторная работа № 4. Стили интеграции программных систем и проектирование API / А. Харченко, В. Шепко, А. Степук. — Минск : БГУ, 2026.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firstLine="426" w:left="709"/>
        <w:rPr/>
      </w:pPr>
      <w:r>
        <w:rPr/>
        <w:t>Харченко, А. Лабораторная работа № 2. Проектирование информационной архитектуры и взаимодействия с пользователем / А. Харченко, В. Шепко, А. Степук. — Минск : БГУ, 2026.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firstLine="426" w:left="709"/>
        <w:rPr/>
      </w:pPr>
      <w:r>
        <w:rPr/>
        <w:t>Osgood, C. E. The Measurement of Meaning / C. E. Osgood, G. J. Suci, P. H. Tannenbaum. — University of Illinois Press, 1957.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firstLine="426" w:left="709"/>
        <w:rPr/>
      </w:pPr>
      <w:r>
        <w:rPr/>
        <w:t>Web Content Accessibility Guidelines (WCAG) 2.1 [Электронный ресурс]. — Режим доступа: https://www.w3.org/TR/WCAG21/. — Дата доступа: 28.10.2026.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firstLine="426" w:left="709"/>
        <w:rPr/>
      </w:pPr>
      <w:r>
        <w:rPr/>
        <w:t>Material Design 3. Accessibility [Электронный ресурс]. — Режим доступа: https://m3.material.io/foundations/accessible-design. — Дата доступа: 28.10.2026.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firstLine="426" w:left="709"/>
        <w:rPr/>
      </w:pPr>
      <w:r>
        <w:rPr/>
        <w:t>Human Interface Guidelines. Layout [Электронный ресурс]. — Режим доступа: https://developer.apple.com/design/human-interface-guidelines/layout. — Дата доступа: 28.10.2026.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firstLine="426" w:left="709"/>
        <w:rPr/>
      </w:pPr>
      <w:r>
        <w:rPr/>
        <w:t>Figma. Prototyping [Электронный ресурс]. — Режим доступа: https://help.figma.com/category/87-prototyping. — Дата доступа: 27.10.2026.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firstLine="426" w:left="709"/>
        <w:rPr/>
      </w:pPr>
      <w:r>
        <w:rPr/>
        <w:t>Paletton — The Color Scheme Designer [Электронный ресурс]. — Режим доступа: http://paletton.com. — Дата доступа: 27.10.2026.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firstLine="426" w:left="709"/>
        <w:rPr/>
      </w:pPr>
      <w:r>
        <w:rPr/>
        <w:t>Guidelines For Navigation And Categories In E-Commerce [Электронный ресурс]. — Режим доступа: https://www.smashingmagazine.com. — Дата доступа: 27.10.2026.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firstLine="426" w:left="709"/>
        <w:rPr/>
      </w:pPr>
      <w:r>
        <w:rPr/>
        <w:t>RFC 9457. Problem Details for HTTP APIs [Электронный ресурс]. — Режим доступа: https://www.rfc-editor.org/rfc/rfc9457. — Дата доступа: 20.10.2026.</w:t>
      </w:r>
    </w:p>
    <w:p>
      <w:pPr>
        <w:pStyle w:val="Heading2"/>
        <w:bidi w:val="0"/>
        <w:jc w:val="left"/>
        <w:rPr/>
      </w:pPr>
      <w:r>
        <w:rPr/>
        <w:t>Приложение А. Диаграммы-профили</w:t>
      </w:r>
    </w:p>
    <w:p>
      <w:pPr>
        <w:pStyle w:val="BodyText"/>
        <w:bidi w:val="0"/>
        <w:rPr/>
      </w:pPr>
      <w:r>
        <w:rPr/>
        <w:t xml:space="preserve">Диаграммы построены скриптом </w:t>
      </w:r>
      <w:r>
        <w:rPr>
          <w:rStyle w:val="Style10"/>
        </w:rPr>
        <w:t>tools/gen_visual_report.py</w:t>
      </w:r>
      <w:r>
        <w:rPr/>
        <w:t xml:space="preserve"> из файла ответов. Пунктирной линией нанесён целевой профиль, заданный до проведения теста.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10"/>
        <w:gridCol w:w="4565"/>
      </w:tblGrid>
      <w:tr>
        <w:trPr/>
        <w:tc>
          <w:tcPr>
            <w:tcW w:w="4510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Файл</w:t>
            </w:r>
          </w:p>
        </w:tc>
        <w:tc>
          <w:tcPr>
            <w:tcW w:w="4565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Содержание</w:t>
            </w:r>
          </w:p>
        </w:tc>
      </w:tr>
      <w:tr>
        <w:trPr/>
        <w:tc>
          <w:tcPr>
            <w:tcW w:w="45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research/charts/profile-all.svg</w:t>
            </w:r>
          </w:p>
        </w:tc>
        <w:tc>
          <w:tcPr>
            <w:tcW w:w="45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профили всех трёх вариантов с целевым профилем</w:t>
            </w:r>
          </w:p>
        </w:tc>
      </w:tr>
      <w:tr>
        <w:trPr/>
        <w:tc>
          <w:tcPr>
            <w:tcW w:w="45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research/charts/profile-a.svg</w:t>
            </w:r>
          </w:p>
        </w:tc>
        <w:tc>
          <w:tcPr>
            <w:tcW w:w="45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вариант A «Доверие» отдельно</w:t>
            </w:r>
          </w:p>
        </w:tc>
      </w:tr>
      <w:tr>
        <w:trPr/>
        <w:tc>
          <w:tcPr>
            <w:tcW w:w="45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research/charts/profile-b.svg</w:t>
            </w:r>
          </w:p>
        </w:tc>
        <w:tc>
          <w:tcPr>
            <w:tcW w:w="45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вариант B «Технологичный» отдельно</w:t>
            </w:r>
          </w:p>
        </w:tc>
      </w:tr>
      <w:tr>
        <w:trPr/>
        <w:tc>
          <w:tcPr>
            <w:tcW w:w="4510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research/charts/profile-c.svg</w:t>
            </w:r>
          </w:p>
        </w:tc>
        <w:tc>
          <w:tcPr>
            <w:tcW w:w="456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вариант C «Тёплый локальный» отдельно</w:t>
            </w:r>
          </w:p>
        </w:tc>
      </w:tr>
    </w:tbl>
    <w:p>
      <w:pPr>
        <w:pStyle w:val="Heading2"/>
        <w:bidi w:val="0"/>
        <w:jc w:val="left"/>
        <w:rPr/>
      </w:pPr>
      <w:r>
        <w:rPr/>
        <w:t>Приложение Б. Состав файлов и порядок сборки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21"/>
        <w:gridCol w:w="2643"/>
        <w:gridCol w:w="3611"/>
      </w:tblGrid>
      <w:tr>
        <w:trPr/>
        <w:tc>
          <w:tcPr>
            <w:tcW w:w="282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Скрипт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Входные данные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Результат</w:t>
            </w:r>
          </w:p>
        </w:tc>
      </w:tr>
      <w:tr>
        <w:trPr/>
        <w:tc>
          <w:tcPr>
            <w:tcW w:w="2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tools/check_contrast.py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design/tokens.json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design/contrast-report.md</w:t>
            </w:r>
          </w:p>
        </w:tc>
      </w:tr>
      <w:tr>
        <w:trPr/>
        <w:tc>
          <w:tcPr>
            <w:tcW w:w="2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tools/build_mockups.py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токены, товары, карточка товара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mockups/visual-language.html</w:t>
            </w:r>
          </w:p>
        </w:tc>
      </w:tr>
      <w:tr>
        <w:trPr/>
        <w:tc>
          <w:tcPr>
            <w:tcW w:w="2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tools/serve_test.py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токены, пары прилагательных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research/raw.csv</w:t>
            </w:r>
          </w:p>
        </w:tc>
      </w:tr>
      <w:tr>
        <w:trPr/>
        <w:tc>
          <w:tcPr>
            <w:tcW w:w="2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tools/gen_visual_report.py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raw.csv</w:t>
            </w:r>
            <w:r>
              <w:rPr/>
              <w:t xml:space="preserve">, </w:t>
            </w:r>
            <w:r>
              <w:rPr>
                <w:rStyle w:val="Style10"/>
              </w:rPr>
              <w:t>adjectives.csv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research/results.md</w:t>
            </w:r>
            <w:r>
              <w:rPr/>
              <w:t>, диаграммы</w:t>
            </w:r>
          </w:p>
        </w:tc>
      </w:tr>
      <w:tr>
        <w:trPr/>
        <w:tc>
          <w:tcPr>
            <w:tcW w:w="2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tools/build_responsive.py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токены, товары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catalog.html</w:t>
            </w:r>
            <w:r>
              <w:rPr/>
              <w:t xml:space="preserve">, </w:t>
            </w:r>
            <w:r>
              <w:rPr>
                <w:rStyle w:val="Style10"/>
              </w:rPr>
              <w:t>mobile-home.html</w:t>
            </w:r>
            <w:r>
              <w:rPr/>
              <w:t xml:space="preserve">, витрины, </w:t>
            </w:r>
            <w:r>
              <w:rPr>
                <w:rStyle w:val="Style10"/>
              </w:rPr>
              <w:t>BREAKPOINTS.md</w:t>
            </w:r>
          </w:p>
        </w:tc>
      </w:tr>
      <w:tr>
        <w:trPr/>
        <w:tc>
          <w:tcPr>
            <w:tcW w:w="2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tools/build_prototype.py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токены, товары, карточка товара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mockups/prototype-*.html</w:t>
            </w:r>
            <w:r>
              <w:rPr/>
              <w:t xml:space="preserve"> — 5 связанных экранов</w:t>
            </w:r>
          </w:p>
        </w:tc>
      </w:tr>
      <w:tr>
        <w:trPr/>
        <w:tc>
          <w:tcPr>
            <w:tcW w:w="2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tools/make_screenshots.py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макеты, headless Firefox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prototype/screenshots/</w:t>
            </w:r>
            <w:r>
              <w:rPr/>
              <w:t xml:space="preserve"> — 19 файлов</w:t>
            </w:r>
          </w:p>
        </w:tc>
      </w:tr>
      <w:tr>
        <w:trPr/>
        <w:tc>
          <w:tcPr>
            <w:tcW w:w="2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tools/gen_style_guide.py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design/tokens.json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style-guide/web.md</w:t>
            </w:r>
            <w:r>
              <w:rPr/>
              <w:t xml:space="preserve">, </w:t>
            </w:r>
            <w:r>
              <w:rPr>
                <w:rStyle w:val="Style10"/>
              </w:rPr>
              <w:t>style-guide/mobile.md</w:t>
            </w:r>
          </w:p>
        </w:tc>
      </w:tr>
      <w:tr>
        <w:trPr/>
        <w:tc>
          <w:tcPr>
            <w:tcW w:w="282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tools/gen_report.py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все перечисленные артефакты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настоящий отчёт</w:t>
            </w:r>
          </w:p>
        </w:tc>
      </w:tr>
    </w:tbl>
    <w:p>
      <w:pPr>
        <w:pStyle w:val="BodyText"/>
        <w:bidi w:val="0"/>
        <w:rPr/>
      </w:pPr>
      <w:r>
        <w:rPr/>
        <w:t>Пересборка после изменения токенов или данных выполняется повторным запуском скриптов в указанном порядке; значения в отчёте обновляются автоматически.</w:t>
      </w:r>
    </w:p>
    <w:p>
      <w:pPr>
        <w:pStyle w:val="Heading2"/>
        <w:bidi w:val="0"/>
        <w:jc w:val="left"/>
        <w:rPr/>
      </w:pPr>
      <w:r>
        <w:rPr/>
        <w:t>Приложение В. Экраны интерактивного прототипа</w:t>
      </w:r>
    </w:p>
    <w:tbl>
      <w:tblPr>
        <w:tblW w:w="9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798"/>
        <w:gridCol w:w="4277"/>
      </w:tblGrid>
      <w:tr>
        <w:trPr/>
        <w:tc>
          <w:tcPr>
            <w:tcW w:w="4798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Файл</w:t>
            </w:r>
          </w:p>
        </w:tc>
        <w:tc>
          <w:tcPr>
            <w:tcW w:w="4277" w:type="dxa"/>
            <w:tcBorders/>
            <w:vAlign w:val="center"/>
          </w:tcPr>
          <w:p>
            <w:pPr>
              <w:pStyle w:val="Style16"/>
              <w:suppressLineNumbers/>
              <w:shd w:fill="EFEFEF" w:val="clear"/>
              <w:bidi w:val="0"/>
              <w:jc w:val="left"/>
              <w:rPr/>
            </w:pPr>
            <w:r>
              <w:rPr/>
              <w:t>Экран</w:t>
            </w:r>
          </w:p>
        </w:tc>
      </w:tr>
      <w:tr>
        <w:trPr/>
        <w:tc>
          <w:tcPr>
            <w:tcW w:w="479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prototype/screenshots/proto-1-вход.png</w:t>
            </w:r>
          </w:p>
        </w:tc>
        <w:tc>
          <w:tcPr>
            <w:tcW w:w="427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Вход, включая вход по отпечатку</w:t>
            </w:r>
          </w:p>
        </w:tc>
      </w:tr>
      <w:tr>
        <w:trPr/>
        <w:tc>
          <w:tcPr>
            <w:tcW w:w="479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prototype/screenshots/proto-2-лента.png</w:t>
            </w:r>
          </w:p>
        </w:tc>
        <w:tc>
          <w:tcPr>
            <w:tcW w:w="427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Лента «Специально для вас»</w:t>
            </w:r>
          </w:p>
        </w:tc>
      </w:tr>
      <w:tr>
        <w:trPr/>
        <w:tc>
          <w:tcPr>
            <w:tcW w:w="479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prototype/screenshots/proto-3-карточка.png</w:t>
            </w:r>
          </w:p>
        </w:tc>
        <w:tc>
          <w:tcPr>
            <w:tcW w:w="427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Карточка товара с описанием</w:t>
            </w:r>
          </w:p>
        </w:tc>
      </w:tr>
      <w:tr>
        <w:trPr/>
        <w:tc>
          <w:tcPr>
            <w:tcW w:w="479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prototype/screenshots/proto-4-ассистент.png</w:t>
            </w:r>
          </w:p>
        </w:tc>
        <w:tc>
          <w:tcPr>
            <w:tcW w:w="427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Ассистент по размеру</w:t>
            </w:r>
          </w:p>
        </w:tc>
      </w:tr>
      <w:tr>
        <w:trPr/>
        <w:tc>
          <w:tcPr>
            <w:tcW w:w="479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prototype/screenshots/proto-5-корзина.png</w:t>
            </w:r>
          </w:p>
        </w:tc>
        <w:tc>
          <w:tcPr>
            <w:tcW w:w="427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Корзина и выбор оплаты</w:t>
            </w:r>
          </w:p>
        </w:tc>
      </w:tr>
      <w:tr>
        <w:trPr/>
        <w:tc>
          <w:tcPr>
            <w:tcW w:w="479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10"/>
              </w:rPr>
              <w:t>prototype/screenshots/proto-6-заказ.png</w:t>
            </w:r>
          </w:p>
        </w:tc>
        <w:tc>
          <w:tcPr>
            <w:tcW w:w="427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Подтверждение заказа</w:t>
            </w:r>
          </w:p>
        </w:tc>
      </w:tr>
    </w:tbl>
    <w:p>
      <w:pPr>
        <w:pStyle w:val="BodyText"/>
        <w:bidi w:val="0"/>
        <w:spacing w:before="0" w:after="160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auto"/>
    <w:pitch w:val="default"/>
  </w:font>
  <w:font w:name="Courier New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5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Times New Roman" w:cs="Times New Roman"/>
      <w:color w:val="auto"/>
      <w:sz w:val="28"/>
      <w:szCs w:val="28"/>
      <w:lang w:val="ru-RU" w:eastAsia="zh-CN" w:bidi="hi-IN"/>
    </w:rPr>
  </w:style>
  <w:style w:type="paragraph" w:styleId="Heading1">
    <w:name w:val="heading 1"/>
    <w:basedOn w:val="Style12"/>
    <w:next w:val="BodyText"/>
    <w:qFormat/>
    <w:pPr>
      <w:spacing w:before="480" w:after="240"/>
      <w:ind w:left="480" w:right="480"/>
      <w:jc w:val="center"/>
      <w:outlineLvl w:val="0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2">
    <w:name w:val="heading 2"/>
    <w:basedOn w:val="Style12"/>
    <w:next w:val="BodyText"/>
    <w:qFormat/>
    <w:pPr>
      <w:keepNext w:val="true"/>
      <w:pageBreakBefore/>
      <w:spacing w:before="400" w:after="200"/>
      <w:ind w:left="400" w:right="400"/>
      <w:jc w:val="left"/>
      <w:outlineLvl w:val="1"/>
    </w:pPr>
    <w:rPr>
      <w:rFonts w:ascii="Liberation Serif" w:hAnsi="Liberation Serif" w:eastAsia="Noto Serif CJK SC" w:cs="Noto Sans Devanagari"/>
      <w:b/>
      <w:bCs/>
      <w:sz w:val="32"/>
      <w:szCs w:val="32"/>
    </w:rPr>
  </w:style>
  <w:style w:type="paragraph" w:styleId="Heading3">
    <w:name w:val="heading 3"/>
    <w:basedOn w:val="Style12"/>
    <w:next w:val="BodyText"/>
    <w:qFormat/>
    <w:pPr>
      <w:keepNext w:val="true"/>
      <w:spacing w:before="320" w:after="160"/>
      <w:ind w:left="320" w:right="320"/>
      <w:jc w:val="left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Style12"/>
    <w:next w:val="BodyText"/>
    <w:qFormat/>
    <w:pPr>
      <w:keepNext w:val="true"/>
      <w:spacing w:before="240" w:after="120"/>
      <w:ind w:left="240" w:right="240"/>
      <w:outlineLvl w:val="3"/>
    </w:pPr>
    <w:rPr>
      <w:rFonts w:ascii="Liberation Serif" w:hAnsi="Liberation Serif" w:eastAsia="Noto Serif CJK SC" w:cs="Noto Sans Devanagari"/>
      <w:b/>
      <w:bCs/>
      <w:i/>
      <w:iCs/>
      <w:sz w:val="28"/>
      <w:szCs w:val="28"/>
    </w:rPr>
  </w:style>
  <w:style w:type="character" w:styleId="Style10">
    <w:name w:val="Исходный текст"/>
    <w:qFormat/>
    <w:rPr>
      <w:rFonts w:ascii="Courier New" w:hAnsi="Courier New" w:eastAsia="Courier New" w:cs="Courier New"/>
      <w:sz w:val="22"/>
      <w:szCs w:val="22"/>
    </w:rPr>
  </w:style>
  <w:style w:type="character" w:styleId="Style11">
    <w:name w:val="Символ нумерации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60"/>
      <w:ind w:firstLine="709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Noto Sans Devanagari"/>
    </w:rPr>
  </w:style>
  <w:style w:type="paragraph" w:styleId="2first">
    <w:name w:val="Заголовок 2.first"/>
    <w:basedOn w:val="Heading2"/>
    <w:qFormat/>
    <w:pPr>
      <w:pageBreakBefore w:val="false"/>
      <w:ind w:hanging="0" w:left="400"/>
      <w:outlineLvl w:val="9"/>
    </w:pPr>
    <w:rPr/>
  </w:style>
  <w:style w:type="paragraph" w:styleId="nb">
    <w:name w:val="Основной текст.nb"/>
    <w:basedOn w:val="BodyText"/>
    <w:qFormat/>
    <w:pPr/>
    <w:rPr/>
  </w:style>
  <w:style w:type="paragraph" w:styleId="cap">
    <w:name w:val="Основной текст.cap"/>
    <w:basedOn w:val="BodyText"/>
    <w:qFormat/>
    <w:pPr>
      <w:spacing w:before="240" w:after="80"/>
      <w:ind w:left="240" w:right="240"/>
    </w:pPr>
    <w:rPr>
      <w:b/>
      <w:bCs/>
    </w:rPr>
  </w:style>
  <w:style w:type="paragraph" w:styleId="Style14">
    <w:name w:val="Блочная цитата"/>
    <w:basedOn w:val="Normal"/>
    <w:qFormat/>
    <w:pPr>
      <w:spacing w:before="160" w:after="160"/>
      <w:ind w:hanging="0" w:left="709" w:right="160"/>
    </w:pPr>
    <w:rPr>
      <w:i/>
      <w:iCs/>
    </w:rPr>
  </w:style>
  <w:style w:type="paragraph" w:styleId="tc">
    <w:name w:val="Основной текст.tc"/>
    <w:basedOn w:val="BodyText"/>
    <w:qFormat/>
    <w:pPr>
      <w:spacing w:before="0" w:after="80"/>
      <w:jc w:val="center"/>
    </w:pPr>
    <w:rPr/>
  </w:style>
  <w:style w:type="paragraph" w:styleId="tc-top">
    <w:name w:val="Основной текст.tc-top"/>
    <w:basedOn w:val="BodyText"/>
    <w:qFormat/>
    <w:pPr>
      <w:spacing w:before="0" w:after="40"/>
      <w:jc w:val="center"/>
    </w:pPr>
    <w:rPr>
      <w:caps/>
      <w:sz w:val="26"/>
      <w:szCs w:val="26"/>
    </w:rPr>
  </w:style>
  <w:style w:type="paragraph" w:styleId="tc-title">
    <w:name w:val="Основной текст.tc-title"/>
    <w:basedOn w:val="BodyText"/>
    <w:qFormat/>
    <w:pPr>
      <w:spacing w:before="0" w:after="120"/>
      <w:jc w:val="center"/>
    </w:pPr>
    <w:rPr>
      <w:b/>
      <w:bCs/>
      <w:sz w:val="36"/>
      <w:szCs w:val="36"/>
    </w:rPr>
  </w:style>
  <w:style w:type="paragraph" w:styleId="tc-sub">
    <w:name w:val="Основной текст.tc-sub"/>
    <w:basedOn w:val="BodyText"/>
    <w:qFormat/>
    <w:pPr>
      <w:spacing w:before="0" w:after="120"/>
      <w:jc w:val="center"/>
    </w:pPr>
    <w:rPr>
      <w:sz w:val="30"/>
      <w:szCs w:val="30"/>
    </w:rPr>
  </w:style>
  <w:style w:type="paragraph" w:styleId="tc-right">
    <w:name w:val="Основной текст.tc-right"/>
    <w:basedOn w:val="BodyText"/>
    <w:qFormat/>
    <w:pPr>
      <w:spacing w:before="0" w:after="40"/>
      <w:jc w:val="right"/>
    </w:pPr>
    <w:rPr/>
  </w:style>
  <w:style w:type="paragraph" w:styleId="tc-gap">
    <w:name w:val="Основной текст.tc-gap"/>
    <w:basedOn w:val="BodyText"/>
    <w:qFormat/>
    <w:pPr>
      <w:spacing w:lineRule="auto" w:line="360"/>
    </w:pPr>
    <w:rPr/>
  </w:style>
  <w:style w:type="paragraph" w:styleId="toc">
    <w:name w:val="Основной текст.toc"/>
    <w:basedOn w:val="BodyText"/>
    <w:qFormat/>
    <w:pPr>
      <w:spacing w:before="0" w:after="60"/>
      <w:jc w:val="left"/>
    </w:pPr>
    <w:rPr>
      <w:sz w:val="26"/>
      <w:szCs w:val="26"/>
    </w:rPr>
  </w:style>
  <w:style w:type="paragraph" w:styleId="toc-2">
    <w:name w:val="Основной текст.toc-2"/>
    <w:basedOn w:val="BodyText"/>
    <w:qFormat/>
    <w:pPr>
      <w:spacing w:before="0" w:after="60"/>
      <w:ind w:left="454"/>
      <w:jc w:val="left"/>
    </w:pPr>
    <w:rPr>
      <w:sz w:val="26"/>
      <w:szCs w:val="26"/>
    </w:rPr>
  </w:style>
  <w:style w:type="paragraph" w:styleId="fig">
    <w:name w:val="Основной текст.fig"/>
    <w:basedOn w:val="BodyText"/>
    <w:qFormat/>
    <w:pPr>
      <w:spacing w:before="200" w:after="80"/>
      <w:ind w:left="200" w:right="200"/>
      <w:jc w:val="center"/>
    </w:pPr>
    <w:rPr/>
  </w:style>
  <w:style w:type="paragraph" w:styleId="figcap">
    <w:name w:val="Основной текст.figcap"/>
    <w:basedOn w:val="BodyText"/>
    <w:qFormat/>
    <w:pPr>
      <w:spacing w:before="0" w:after="280"/>
      <w:jc w:val="center"/>
    </w:pPr>
    <w:rPr>
      <w:sz w:val="24"/>
      <w:szCs w:val="24"/>
    </w:rPr>
  </w:style>
  <w:style w:type="paragraph" w:styleId="Style15">
    <w:name w:val="Содержимое таблицы"/>
    <w:basedOn w:val="Normal"/>
    <w:qFormat/>
    <w:pPr>
      <w:widowControl w:val="false"/>
      <w:suppressLineNumbers/>
      <w:jc w:val="left"/>
    </w:pPr>
    <w:rPr/>
  </w:style>
  <w:style w:type="paragraph" w:styleId="Style16">
    <w:name w:val="Заголовок таблицы"/>
    <w:basedOn w:val="Style15"/>
    <w:qFormat/>
    <w:pPr>
      <w:suppressLineNumbers/>
      <w:shd w:fill="EFEFE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jpeg"/><Relationship Id="rId8" Type="http://schemas.openxmlformats.org/officeDocument/2006/relationships/image" Target="media/image7.jpe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LibreOffice_project/6673c99d96549ce65101be79fa29dd8a8e58eb52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