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Белорусский государственный университет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Факультет прикладной математики и информатики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Кафедра технологий программирования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Отчёт по лабораторной работе № 5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 курсу «Проектирование человеко-машинных интерфейсов»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8"/>
        </w:rPr>
        <w:t>Проектирование прототипа приложения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Тема проекта: МаркетШоп.by — сервис автоматической генерации описаний товаров в рекомендательной системе маркетплейса одежды и обуви (Республика Беларусь)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Выполнили: студенты 4 курса, группа 10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Харченко Анастасия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Шепко Варвара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Степук Анастасия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Проверила: старший преподаватель кафедры ТП</w:t>
      </w:r>
    </w:p>
    <w:p>
      <w:pPr>
        <w:spacing w:after="6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Давидовская М. И.</w:t>
      </w:r>
    </w:p>
    <w:p>
      <w:pPr>
        <w:spacing w:after="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</w:p>
    <w:p>
      <w:pPr>
        <w:spacing w:after="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Минск, 2026</w:t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ind w:firstLine="0"/>
      </w:pPr>
      <w:r>
        <w:rPr>
          <w:rFonts w:ascii="Times New Roman" w:hAnsi="Times New Roman" w:eastAsia="Times New Roman"/>
          <w:b w:val="0"/>
          <w:i/>
          <w:sz w:val="24"/>
        </w:rPr>
        <w:t>Оглавление с номерами страниц приведено в PDF-версии отчёта.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Введение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Работа продолжает проект МаркетШоп.by из ЛР № 1 — ЛР № 4. В ЛР № 2 была разработана информационная архитектура и предложена цветовая концепция, в ЛР № 3 — требования и модели предметной области, в ЛР № 4 — физическая модель базы данных, REST API и MCP-сервер. В настоящей работе исследован визуальный язык продукта, разработаны адаптивные макеты и руководства по стилям для веб- и мобильного приложения.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Ключевой результат работы: </w:t>
      </w:r>
      <w:r>
        <w:rPr>
          <w:rFonts w:ascii="Times New Roman" w:hAnsi="Times New Roman" w:eastAsia="Times New Roman"/>
          <w:b/>
          <w:i w:val="0"/>
          <w:sz w:val="28"/>
        </w:rPr>
        <w:t>цветовая концепция, предложенная в ЛР № 2 «на глаз», проверена эмпирически и по итогам теста заменена.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Это соответствует принятой в проекте практике — в ЛР № 2 по результатам опроса были переработаны пять разделов ЛР № 1.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Все артефакты собираются скриптами из трёх источников — </w:t>
      </w:r>
      <w:r>
        <w:rPr>
          <w:rFonts w:ascii="Courier New" w:hAnsi="Courier New" w:eastAsia="Courier New"/>
          <w:b w:val="0"/>
          <w:i w:val="0"/>
          <w:sz w:val="22"/>
        </w:rPr>
        <w:t>design/tokens.json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research/adjectives.csv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2"/>
        </w:rPr>
        <w:t>research/raw.csv</w:t>
      </w:r>
      <w:r>
        <w:rPr>
          <w:rFonts w:ascii="Times New Roman" w:hAnsi="Times New Roman" w:eastAsia="Times New Roman"/>
          <w:b w:val="0"/>
          <w:i w:val="0"/>
          <w:sz w:val="28"/>
        </w:rPr>
        <w:t>. Макеты, руководства по стилям, отчёт о контрасте и настоящий отчёт не набирались вручную, поэтому не могут разойтись между собой.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4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Задание</w:t>
            </w:r>
          </w:p>
        </w:tc>
        <w:tc>
          <w:tcPr>
            <w:tcW w:type="dxa" w:w="481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Результат</w:t>
            </w:r>
          </w:p>
        </w:tc>
        <w:tc>
          <w:tcPr>
            <w:tcW w:type="dxa" w:w="229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Файлы</w:t>
            </w:r>
          </w:p>
        </w:tc>
      </w:tr>
      <w:tr>
        <w:tc>
          <w:tcPr>
            <w:tcW w:type="dxa" w:w="22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1. Исследование визуального языка</w:t>
            </w:r>
          </w:p>
        </w:tc>
        <w:tc>
          <w:tcPr>
            <w:tcW w:type="dxa" w:w="4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 пар прилагательных с целевым профилем, 3 цветовых варианта, тест с 11 респондентами, 4 диаграммы-профиля</w:t>
            </w:r>
          </w:p>
        </w:tc>
        <w:tc>
          <w:tcPr>
            <w:tcW w:type="dxa" w:w="22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mockups/visual-language.html</w:t>
            </w:r>
          </w:p>
        </w:tc>
      </w:tr>
      <w:tr>
        <w:tc>
          <w:tcPr>
            <w:tcW w:type="dxa" w:w="22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2. Адаптивные макеты и прототип</w:t>
            </w:r>
          </w:p>
        </w:tc>
        <w:tc>
          <w:tcPr>
            <w:tcW w:type="dxa" w:w="4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разрешений веб-страницы, 5 устройств, отзывчивая разметка с медиазапросами, ТЗ на интерактивный прототип</w:t>
            </w:r>
          </w:p>
        </w:tc>
        <w:tc>
          <w:tcPr>
            <w:tcW w:type="dxa" w:w="22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</w:t>
            </w:r>
          </w:p>
        </w:tc>
      </w:tr>
      <w:tr>
        <w:tc>
          <w:tcPr>
            <w:tcW w:type="dxa" w:w="22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 Руководства по стилям</w:t>
            </w:r>
          </w:p>
        </w:tc>
        <w:tc>
          <w:tcPr>
            <w:tcW w:type="dxa" w:w="4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руководства, 33 раздела, 21 компонент, проверка контраста по WCAG 2.1</w:t>
            </w:r>
          </w:p>
        </w:tc>
        <w:tc>
          <w:tcPr>
            <w:tcW w:type="dxa" w:w="22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style-guide/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design/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1 Исследование визуального языка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1.1 Анализ шаблонов и решений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Исследование начато с изучения существующих решений. Рассмотрены товарные страницы и карточки товара на Dribbble и CodePen, обзор элементов интерфейса Usability.gov, материал UXPin о применении шаблонов проектирования и исследование Smashing Magazine о навигационных категориях в электронной коммерции.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Отбор вёлся не по внешней привлекательности, а по пригодности для задач проекта. Каждое решение проверялось на совместимость с информационной архитектурой ЛР № 2 и критериями приёмки ЛР № 3: если шаблон противоречил уже принятому требованию, он отклонялся независимо от того, насколько распространён.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Паттерн</w:t>
            </w:r>
          </w:p>
        </w:tc>
        <w:tc>
          <w:tcPr>
            <w:tcW w:type="dxa" w:w="137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Источник</w:t>
            </w:r>
          </w:p>
        </w:tc>
        <w:tc>
          <w:tcPr>
            <w:tcW w:type="dxa" w:w="8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Решение</w:t>
            </w:r>
          </w:p>
        </w:tc>
        <w:tc>
          <w:tcPr>
            <w:tcW w:type="dxa" w:w="526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Обоснование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Закреплённая панель покупки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Dribbble, товарные страницы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 частично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решение распространено, но AC-02.1 требует размещать описание выше кнопки «В корзину»; при закреплённой панели кнопка видна всегда и требование теряет смысл, поэтому кнопка размещена в потоке документа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Фасетные фильтры в боковой панели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Smashing Magazine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соответствует системе поиска ЛР № 2, п. 2.4: фильтрация по размеру, цене, бренду и признаку «Сделано в Беларуси»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Мегаменю категорий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Dribbble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отклонён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2 ограничивает число навигационных связей функционального блока тремя; мегаменю нарушает это ограничение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 с кратким описанием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CodePen, product cart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прямо реализует AC-01.2: в карточке ленты выводится summary не длиннее 90 символов, сформированный из того же черновика, что и полное описание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Бейдж происхождения товара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Usability.gov, UI patterns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закрывает US-13: фильтр и отметка «Сделано в Беларуси» как инструмент поддержки локальных брендов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Аккордеон характеристик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UXPin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отклонён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AC-02.2 требует, чтобы все четыре подблока описания — состав, посадка, уход, размерная сетка — были видны без дополнительного действия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Подбор размера по меркам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Dribbble, fashion e-commerce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US-03 и US-04: рекомендация размера с пояснением о посадке, ввод параметров без ухода в профиль</w:t>
            </w:r>
          </w:p>
        </w:tc>
      </w:tr>
      <w:tr>
        <w:tc>
          <w:tcPr>
            <w:tcW w:type="dxa" w:w="18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Индикатор доверия к описанию</w:t>
            </w:r>
          </w:p>
        </w:tc>
        <w:tc>
          <w:tcPr>
            <w:tcW w:type="dxa" w:w="13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собственное решение</w:t>
            </w:r>
          </w:p>
        </w:tc>
        <w:tc>
          <w:tcPr>
            <w:tcW w:type="dxa" w:w="8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принят с ограничением</w:t>
            </w:r>
          </w:p>
        </w:tc>
        <w:tc>
          <w:tcPr>
            <w:tcW w:type="dxa" w:w="526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уровень уверенности генератора показывается продавцу и модератору, но скрыт от покупателя (ОГР-2)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1.2 Методика тестирования визуального дизайна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Рассмотрены три подхода к оценке визуального дизайна.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Основным выбран </w:t>
      </w:r>
      <w:r>
        <w:rPr>
          <w:rFonts w:ascii="Times New Roman" w:hAnsi="Times New Roman" w:eastAsia="Times New Roman"/>
          <w:b/>
          <w:i w:val="0"/>
          <w:sz w:val="28"/>
        </w:rPr>
        <w:t>семантический дифференциал</w:t>
      </w:r>
      <w:r>
        <w:rPr>
          <w:rFonts w:ascii="Times New Roman" w:hAnsi="Times New Roman" w:eastAsia="Times New Roman"/>
          <w:b w:val="0"/>
          <w:i w:val="0"/>
          <w:sz w:val="28"/>
        </w:rPr>
        <w:t>. Методические указания прямо требуют шкал по парам прилагательных, расчёта средних и построения диаграммы-профиля. Существеннее другое: метод позволяет заранее объявить, каким продукт должен восприниматься, и затем проверить гипотезу, а не подбирать объяснение под полученный результат.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Метод предпочтительного выбора применён дополнительно: последним вопросом анкеты респондент указывает вариант, который выбрал бы сам. Этот ответ не влияет на расчёт и служит проверкой — совпадает ли прямое предпочтение с результатом по шкалам.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1.3 Пары прилагательных и целевой профиль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Семь пар из методических указаний сохранены и дополнены до пятнадцати. Каждая пара обоснована данными ЛР № 1 — ЛР № 4; оценивается по шкале 1–5, где 5 соответствует левому полюсу.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Для пяти пар целевое значение намеренно не крайнее. Парам «Честный — Лживый» и «Надёжный — Ненадёжный» присвоен двойной вес: они закрывают барьеры, подтверждённые опросом ЛР № 1 (несоответствие описания реальности — 60,9 %, сложности с возвратом — 39,1 %).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78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29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Пара (5 — 1)</w:t>
            </w:r>
          </w:p>
        </w:tc>
        <w:tc>
          <w:tcPr>
            <w:tcW w:type="dxa" w:w="78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Цель</w:t>
            </w:r>
          </w:p>
        </w:tc>
        <w:tc>
          <w:tcPr>
            <w:tcW w:type="dxa" w:w="78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Вес</w:t>
            </w:r>
          </w:p>
        </w:tc>
        <w:tc>
          <w:tcPr>
            <w:tcW w:type="dxa" w:w="470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Обоснование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P01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Добрый — Злой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тон интерфейса: польза простым языком, без маркетингового давления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P02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Современный — Классический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образ технологичной площадки, но ядро ЦА включает 35–55 лет (32,6%) — крайняя новизна отталкивает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P03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Молодой — Старый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ЦА 18–55: 25–34 — 39,1%, 18–24 — 28,3%, 35–44 — 21,7%, 45+ — 10,9%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P04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Безопасный — Опасный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оплата картой онлайн 69,6%; недоверие к продавцу — барьер 19,6%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P05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Красивый — Некрасивый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нейтральный фон и белые карточки — ради акцента на фотографиях товара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P06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Интересный — Скучный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монопольный интерфейс, сессии 15–20 мин: не должен отвлекать от выбора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P07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Полезный — Бесполезный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средняя важность достоверного описания 4,33/5, оценок «1» нет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P08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Честный — Лживый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×2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60,9% сталкивались с несоответствием описания реальности; запрет неподтверждённых заявлений о качестве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P09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Надёжный — Ненадёжный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×2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сложности с возвратом/обменом — барьер №1 (39,1%)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P10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Простой — Сложный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Ольга Петровна, 48: низкий/средний уровень владения приложениями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P11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Понятный — Запутанный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термины генерации (NLP, LLM, «ИИ-описание») отсутствуют в покупательском контуре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P12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Спокойный — Раздражающий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58,7% заходят вечером 19:00–23:00; требуется тёмная тема и низкая визуальная агрессия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P13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Профессиональный — Любительский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привлечь малые белорусские бренды: их карточки должны выглядеть солидно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P14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Дорогой — Дешёвый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«качественная одежда по адекватной цене»: не люкс и не дискаунтер</w:t>
            </w:r>
          </w:p>
        </w:tc>
      </w:tr>
      <w:tr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P15</w:t>
            </w:r>
          </w:p>
        </w:tc>
        <w:tc>
          <w:tcPr>
            <w:tcW w:type="dxa" w:w="229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Технологичный — Устаревший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7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470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бизнес-задача: образ технологичной площадки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1.4 Цветовые схемы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Подготовлены три цветовых решения. Вариант A воспроизводит концепцию ЛР № 2 и служит контрольным: именно его предстояло проверить. Варианты B и C сгенерированы в paletton.com — триада и аналоговая схема соответственно; оттенки и тона подобраны в colorhexa.com.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27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Вариант</w:t>
            </w:r>
          </w:p>
        </w:tc>
        <w:tc>
          <w:tcPr>
            <w:tcW w:type="dxa" w:w="226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Схема</w:t>
            </w:r>
          </w:p>
        </w:tc>
        <w:tc>
          <w:tcPr>
            <w:tcW w:type="dxa" w:w="582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Замысел и проверяемая гипотеза</w:t>
            </w:r>
          </w:p>
        </w:tc>
      </w:tr>
      <w:tr>
        <w:tc>
          <w:tcPr>
            <w:tcW w:type="dxa" w:w="12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 «Доверие»</w:t>
            </w:r>
          </w:p>
        </w:tc>
        <w:tc>
          <w:tcPr>
            <w:tcW w:type="dxa" w:w="226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2, контрольный</w:t>
            </w:r>
          </w:p>
        </w:tc>
        <w:tc>
          <w:tcPr>
            <w:tcW w:type="dxa" w:w="582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тёмно-синий как цвет шапки и тёплый оранжевый как цвет действия. Концепция принята в ЛР № 2 исходя из общих соображений, без проверки на пользователях</w:t>
            </w:r>
          </w:p>
        </w:tc>
      </w:tr>
      <w:tr>
        <w:tc>
          <w:tcPr>
            <w:tcW w:type="dxa" w:w="12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 «Технологичный»</w:t>
            </w:r>
          </w:p>
        </w:tc>
        <w:tc>
          <w:tcPr>
            <w:tcW w:type="dxa" w:w="226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триада: графит, индиго, бирюзовый</w:t>
            </w:r>
          </w:p>
        </w:tc>
        <w:tc>
          <w:tcPr>
            <w:tcW w:type="dxa" w:w="582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проверяет бизнес-задачу ЛР № 1, п. 13.4 — сформировать образ технологичной площадки. Холодная гамма, характерная для продуктовых и финансовых сервисов</w:t>
            </w:r>
          </w:p>
        </w:tc>
      </w:tr>
      <w:tr>
        <w:tc>
          <w:tcPr>
            <w:tcW w:type="dxa" w:w="127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 «Тёплый локальный»</w:t>
            </w:r>
          </w:p>
        </w:tc>
        <w:tc>
          <w:tcPr>
            <w:tcW w:type="dxa" w:w="226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аналоговая: терракота и олива на кремовом</w:t>
            </w:r>
          </w:p>
        </w:tc>
        <w:tc>
          <w:tcPr>
            <w:tcW w:type="dxa" w:w="582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отсылка к идентичности малых белорусских брендов — основной аудитории продавцов по ЛР № 1. Тёплая, приглушённая гамма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Принципиальное условие: </w:t>
      </w:r>
      <w:r>
        <w:rPr>
          <w:rFonts w:ascii="Times New Roman" w:hAnsi="Times New Roman" w:eastAsia="Times New Roman"/>
          <w:b/>
          <w:i w:val="0"/>
          <w:sz w:val="28"/>
        </w:rPr>
        <w:t>набор имён токенов во всех трёх вариантах идентичен</w:t>
      </w:r>
      <w:r>
        <w:rPr>
          <w:rFonts w:ascii="Times New Roman" w:hAnsi="Times New Roman" w:eastAsia="Times New Roman"/>
          <w:b w:val="0"/>
          <w:i w:val="0"/>
          <w:sz w:val="28"/>
        </w:rPr>
        <w:t>, различаются только значения. Благодаря этому макеты собираются из одной разметки, и различие сводится ровно к цвету — то, чего и требуют методические указания.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6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et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6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 — Ключевые токены трёх цветовых вариантов в светлой теме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74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Токен</w:t>
            </w:r>
          </w:p>
        </w:tc>
        <w:tc>
          <w:tcPr>
            <w:tcW w:type="dxa" w:w="337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Назначение</w:t>
            </w:r>
          </w:p>
        </w:tc>
        <w:tc>
          <w:tcPr>
            <w:tcW w:type="dxa" w:w="141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A</w:t>
            </w:r>
          </w:p>
        </w:tc>
        <w:tc>
          <w:tcPr>
            <w:tcW w:type="dxa" w:w="141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</w:t>
            </w:r>
          </w:p>
        </w:tc>
        <w:tc>
          <w:tcPr>
            <w:tcW w:type="dxa" w:w="141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C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bg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фон страницы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#F7F6F3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#F4F6F8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#FAF6EF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surface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карточка, панель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#FFFFFF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#FFFFFF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#FFFFFF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text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основной текст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#1B2432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#141922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#2A231C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text-muted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второстепенный текст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#5F6878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#5E677C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#6F6459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brand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шапка и глобальная навигация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#22304A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#1F2430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#3E3228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accent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кнопка ключевого действия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#AD5A21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#3B5BDB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#A8462A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accent-soft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акцентная плашка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#FBEDE2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#E6EAFB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#F7E6DF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success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успех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#2F7A43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#11795F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#5A7038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warning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предупреждение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#8F6710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#8A6512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#8A6612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error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ошибка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#C0392B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#C2342F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#A83A26</w:t>
            </w:r>
          </w:p>
        </w:tc>
      </w:tr>
      <w:tr>
        <w:tc>
          <w:tcPr>
            <w:tcW w:type="dxa" w:w="174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decor</w:t>
            </w:r>
          </w:p>
        </w:tc>
        <w:tc>
          <w:tcPr>
            <w:tcW w:type="dxa" w:w="337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декоративная заливка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#E07A3F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#17B8A6</w:t>
            </w:r>
          </w:p>
        </w:tc>
        <w:tc>
          <w:tcPr>
            <w:tcW w:type="dxa" w:w="141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#7A8450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Проверка контраста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Цветовое решение проверялось не только на восприятие, но и на доступность. Все сочетания «текст — фон» и «граница — фон» проверены по WCAG 2.1 скриптом </w:t>
      </w:r>
      <w:r>
        <w:rPr>
          <w:rFonts w:ascii="Courier New" w:hAnsi="Courier New" w:eastAsia="Courier New"/>
          <w:b w:val="0"/>
          <w:i w:val="0"/>
          <w:sz w:val="22"/>
        </w:rPr>
        <w:t>tools/check_contrast.py</w:t>
      </w:r>
      <w:r>
        <w:rPr>
          <w:rFonts w:ascii="Times New Roman" w:hAnsi="Times New Roman" w:eastAsia="Times New Roman"/>
          <w:b w:val="0"/>
          <w:i w:val="0"/>
          <w:sz w:val="28"/>
        </w:rPr>
        <w:t>, который вычисляет коэффициент контраста по формуле относительной яркости и сверяет его с порогом: 4,5 : 1 для основного текста, 3 : 1 для границ и графических элементов.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Результат: </w:t>
      </w:r>
      <w:r>
        <w:rPr>
          <w:rFonts w:ascii="Times New Roman" w:hAnsi="Times New Roman" w:eastAsia="Times New Roman"/>
          <w:b/>
          <w:i w:val="0"/>
          <w:sz w:val="28"/>
        </w:rPr>
        <w:t>126 пар, из них обязательных 120; не проходит — 0; уровню AAA соответствует 42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46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Сочетание</w:t>
            </w:r>
          </w:p>
        </w:tc>
        <w:tc>
          <w:tcPr>
            <w:tcW w:type="dxa" w:w="85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Контраст</w:t>
            </w:r>
          </w:p>
        </w:tc>
        <w:tc>
          <w:tcPr>
            <w:tcW w:type="dxa" w:w="7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Требуется</w:t>
            </w:r>
          </w:p>
        </w:tc>
        <w:tc>
          <w:tcPr>
            <w:tcW w:type="dxa" w:w="102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Итог</w:t>
            </w:r>
          </w:p>
        </w:tc>
        <w:tc>
          <w:tcPr>
            <w:tcW w:type="dxa" w:w="42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Решение</w:t>
            </w:r>
          </w:p>
        </w:tc>
      </w:tr>
      <w:tr>
        <w:tc>
          <w:tcPr>
            <w:tcW w:type="dxa" w:w="246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Белый текст на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#E07A3F</w:t>
            </w:r>
          </w:p>
        </w:tc>
        <w:tc>
          <w:tcPr>
            <w:tcW w:type="dxa" w:w="85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2,99 : 1</w:t>
            </w:r>
          </w:p>
        </w:tc>
        <w:tc>
          <w:tcPr>
            <w:tcW w:type="dxa" w:w="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4,5 : 1</w:t>
            </w:r>
          </w:p>
        </w:tc>
        <w:tc>
          <w:tcPr>
            <w:tcW w:type="dxa" w:w="102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проходит</w:t>
            </w:r>
          </w:p>
        </w:tc>
        <w:tc>
          <w:tcPr>
            <w:tcW w:type="dxa" w:w="42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для заливки кнопок введён затемнённый тон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#AD5A21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(4,93 : 1); исходный оттенок сохранён как декоративный</w:t>
            </w:r>
          </w:p>
        </w:tc>
      </w:tr>
      <w:tr>
        <w:tc>
          <w:tcPr>
            <w:tcW w:type="dxa" w:w="246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Белый текст на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#C96930</w:t>
            </w:r>
          </w:p>
        </w:tc>
        <w:tc>
          <w:tcPr>
            <w:tcW w:type="dxa" w:w="85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3,77 : 1</w:t>
            </w:r>
          </w:p>
        </w:tc>
        <w:tc>
          <w:tcPr>
            <w:tcW w:type="dxa" w:w="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4,5 : 1</w:t>
            </w:r>
          </w:p>
        </w:tc>
        <w:tc>
          <w:tcPr>
            <w:tcW w:type="dxa" w:w="102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проходит</w:t>
            </w:r>
          </w:p>
        </w:tc>
        <w:tc>
          <w:tcPr>
            <w:tcW w:type="dxa" w:w="42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 же; оттенок использовался как состояние наведения</w:t>
            </w:r>
          </w:p>
        </w:tc>
      </w:tr>
      <w:tr>
        <w:tc>
          <w:tcPr>
            <w:tcW w:type="dxa" w:w="246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Граница поля ввода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#C9C4B9</w:t>
            </w:r>
          </w:p>
        </w:tc>
        <w:tc>
          <w:tcPr>
            <w:tcW w:type="dxa" w:w="85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1,74 : 1</w:t>
            </w:r>
          </w:p>
        </w:tc>
        <w:tc>
          <w:tcPr>
            <w:tcW w:type="dxa" w:w="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 : 1</w:t>
            </w:r>
          </w:p>
        </w:tc>
        <w:tc>
          <w:tcPr>
            <w:tcW w:type="dxa" w:w="102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проходит</w:t>
            </w:r>
          </w:p>
        </w:tc>
        <w:tc>
          <w:tcPr>
            <w:tcW w:type="dxa" w:w="42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затемнена до уровня, удовлетворяющего WCAG 1.4.11</w:t>
            </w:r>
          </w:p>
        </w:tc>
      </w:tr>
      <w:tr>
        <w:tc>
          <w:tcPr>
            <w:tcW w:type="dxa" w:w="246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Второстепенный текст на плашке</w:t>
            </w:r>
          </w:p>
        </w:tc>
        <w:tc>
          <w:tcPr>
            <w:tcW w:type="dxa" w:w="85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4,23 : 1</w:t>
            </w:r>
          </w:p>
        </w:tc>
        <w:tc>
          <w:tcPr>
            <w:tcW w:type="dxa" w:w="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4,5 : 1</w:t>
            </w:r>
          </w:p>
        </w:tc>
        <w:tc>
          <w:tcPr>
            <w:tcW w:type="dxa" w:w="102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проходит</w:t>
            </w:r>
          </w:p>
        </w:tc>
        <w:tc>
          <w:tcPr>
            <w:tcW w:type="dxa" w:w="42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цвет текста затемнён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Всего скорректировано десять значений в трёх палитрах. Существенно, что дефект обнаружен в концепции, принятой в предыдущей работе: без формальной проверки он перешёл бы в разработку и проявился бы уже на этапе тестирования доступности.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1.5 Дизайн-макеты вариантов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Для исследования выбраны два экрана — по одному на каждую платформу.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3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Экран</w:t>
            </w:r>
          </w:p>
        </w:tc>
        <w:tc>
          <w:tcPr>
            <w:tcW w:type="dxa" w:w="97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Разрешение</w:t>
            </w:r>
          </w:p>
        </w:tc>
        <w:tc>
          <w:tcPr>
            <w:tcW w:type="dxa" w:w="584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Обоснование выбора</w:t>
            </w:r>
          </w:p>
        </w:tc>
      </w:tr>
      <w:tr>
        <w:tc>
          <w:tcPr>
            <w:tcW w:type="dxa" w:w="253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Главная страница веб-приложения с лентой «Специально для вас»</w:t>
            </w:r>
          </w:p>
        </w:tc>
        <w:tc>
          <w:tcPr>
            <w:tcW w:type="dxa" w:w="97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 px</w:t>
            </w:r>
          </w:p>
        </w:tc>
        <w:tc>
          <w:tcPr>
            <w:tcW w:type="dxa" w:w="58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лента — содержание главного экрана; персонализированные рекомендации положительно оценили 73,9 % респондентов опроса ЛР № 1. Экран содержит шапку, глобальную навигацию, баннер, сетку карточек и подвал, то есть почти все типовые элементы системы</w:t>
            </w:r>
          </w:p>
        </w:tc>
      </w:tr>
      <w:tr>
        <w:tc>
          <w:tcPr>
            <w:tcW w:type="dxa" w:w="253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 товара мобильного приложения</w:t>
            </w:r>
          </w:p>
        </w:tc>
        <w:tc>
          <w:tcPr>
            <w:tcW w:type="dxa" w:w="97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375 px</w:t>
            </w:r>
          </w:p>
        </w:tc>
        <w:tc>
          <w:tcPr>
            <w:tcW w:type="dxa" w:w="58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82,6 % респондентов совершают покупки со смартфона. Карточка — ядро продукта: именно в ней показывается автоматически сформированное описание, ради которого проектируется система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Оба экрана зафиксированы макетами низкой точности ещё в ЛР № 2, поэтому структура не менялась — проверялся только цвет.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Шрифты Inter и Manrope встроены в файл, внешних ссылок нет: вид макета не зависит от наличия сети во время теста. Это существенно, поскольку при отсутствии загрузки шрифта браузер подставил бы системный и оформление изменилось бы посреди исследования.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Перед началом сбора ответов состав материалов зафиксирован контрольными суммами (</w:t>
      </w:r>
      <w:r>
        <w:rPr>
          <w:rFonts w:ascii="Courier New" w:hAnsi="Courier New" w:eastAsia="Courier New"/>
          <w:b w:val="0"/>
          <w:i w:val="0"/>
          <w:sz w:val="22"/>
        </w:rPr>
        <w:t>research/FREEZE.md</w:t>
      </w:r>
      <w:r>
        <w:rPr>
          <w:rFonts w:ascii="Times New Roman" w:hAnsi="Times New Roman" w:eastAsia="Times New Roman"/>
          <w:b w:val="0"/>
          <w:i w:val="0"/>
          <w:sz w:val="28"/>
        </w:rPr>
        <w:t>) — это подтверждает, что все респонденты оценивали одну и ту же версию макетов.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304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nt-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3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2 — Вариант A «Доверие»: веб-главная 1440 px и карточка товара 375 px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304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nt-b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3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3 — Вариант B «Технологичный»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304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nt-c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3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4 — Вариант C «Тёплый локальный»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1.6 Организация и проведение теста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В тестировании приняли участие </w:t>
      </w:r>
      <w:r>
        <w:rPr>
          <w:rFonts w:ascii="Times New Roman" w:hAnsi="Times New Roman" w:eastAsia="Times New Roman"/>
          <w:b/>
          <w:i w:val="0"/>
          <w:sz w:val="28"/>
        </w:rPr>
        <w:t>11 респондентов</w:t>
      </w:r>
      <w:r>
        <w:rPr>
          <w:rFonts w:ascii="Times New Roman" w:hAnsi="Times New Roman" w:eastAsia="Times New Roman"/>
          <w:b w:val="0"/>
          <w:i w:val="0"/>
          <w:sz w:val="28"/>
        </w:rPr>
        <w:t>. Состав выборки соответствует группам пользователей, выделенным в ЛР №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7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Группа пользователей из ЛР № 1</w:t>
            </w:r>
          </w:p>
        </w:tc>
        <w:tc>
          <w:tcPr>
            <w:tcW w:type="dxa" w:w="18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Требовалось</w:t>
            </w:r>
          </w:p>
        </w:tc>
        <w:tc>
          <w:tcPr>
            <w:tcW w:type="dxa" w:w="18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Фактически</w:t>
            </w:r>
          </w:p>
        </w:tc>
      </w:tr>
      <w:tr>
        <w:tc>
          <w:tcPr>
            <w:tcW w:type="dxa" w:w="5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«Осознанные покупательницы» 25–34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5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«Новички» 35–55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5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«Быстрые покупатели» 18–29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57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Продавцы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8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Распределение по основному устройству: смартфон — 8, компьютер — 2, планшет — 1.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Анкета реализована собственным сервером </w:t>
      </w:r>
      <w:r>
        <w:rPr>
          <w:rFonts w:ascii="Courier New" w:hAnsi="Courier New" w:eastAsia="Courier New"/>
          <w:b w:val="0"/>
          <w:i w:val="0"/>
          <w:sz w:val="22"/>
        </w:rPr>
        <w:t>tools/serve_test.py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он показывает макеты, задаёт вопросы и записывает ответы непосредственно в </w:t>
      </w:r>
      <w:r>
        <w:rPr>
          <w:rFonts w:ascii="Courier New" w:hAnsi="Courier New" w:eastAsia="Courier New"/>
          <w:b w:val="0"/>
          <w:i w:val="0"/>
          <w:sz w:val="22"/>
        </w:rPr>
        <w:t>research/raw.csv</w:t>
      </w:r>
      <w:r>
        <w:rPr>
          <w:rFonts w:ascii="Times New Roman" w:hAnsi="Times New Roman" w:eastAsia="Times New Roman"/>
          <w:b w:val="0"/>
          <w:i w:val="0"/>
          <w:sz w:val="28"/>
        </w:rPr>
        <w:t>. Отказ от внешнего сервиса форм исключил рассогласование имён столбцов при выгрузке и позволил назначать порядок показа автоматически.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Соблюдены условия корректности измерения: </w:t>
      </w:r>
      <w:r>
        <w:rPr>
          <w:rFonts w:ascii="Times New Roman" w:hAnsi="Times New Roman" w:eastAsia="Times New Roman"/>
          <w:b/>
          <w:i w:val="0"/>
          <w:sz w:val="28"/>
        </w:rPr>
        <w:t>порядок предъявления вариантов ротировался между респондентами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для подавления эффекта первичности; переход к оценке блокировался на 15 секунд, чтобы респондент действительно рассмотрел макет; возврат к предыдущему макету не допускался; все 15 шкал были обязательными.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1.7 Обработка результатов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292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Пара (5 — 1)</w:t>
            </w:r>
          </w:p>
        </w:tc>
        <w:tc>
          <w:tcPr>
            <w:tcW w:type="dxa" w:w="64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Цель</w:t>
            </w:r>
          </w:p>
        </w:tc>
        <w:tc>
          <w:tcPr>
            <w:tcW w:type="dxa" w:w="64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Вес</w:t>
            </w:r>
          </w:p>
        </w:tc>
        <w:tc>
          <w:tcPr>
            <w:tcW w:type="dxa" w:w="15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A</w:t>
            </w:r>
          </w:p>
        </w:tc>
        <w:tc>
          <w:tcPr>
            <w:tcW w:type="dxa" w:w="15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</w:t>
            </w:r>
          </w:p>
        </w:tc>
        <w:tc>
          <w:tcPr>
            <w:tcW w:type="dxa" w:w="15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C</w:t>
            </w:r>
          </w:p>
        </w:tc>
        <w:tc>
          <w:tcPr>
            <w:tcW w:type="dxa" w:w="64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Ближе к цели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Добрый — Злой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0.75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3.55 ± 1.13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4.55 ± 0.69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Современный — Классический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3.64 ± 1.03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4.09 ± 1.14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0.98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Молодой — Старый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1.00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0.79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3.73 ± 0.90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Безопасный — Опасный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0.63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0.77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4.55 ± 0.69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Красивый — Некрасивый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4.09 ± 0.94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3.91 ± 0.83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0.79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Интересный — Скучный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0.63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3.18 ± 0.87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3.55 ± 1.04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Полезный — Бесполезный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3.73 ± 0.79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0.79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0.75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Честный — Лживый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×2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3.91 ± 0.94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0.65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4.09 ± 0.70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Надёжный — Ненадёжный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×2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0.87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4.36 ± 0.67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4.09 ± 0.83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Простой — Сложный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0.77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3.64 ± 1.03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0.75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Понятный — Запутанный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3.64 ± 0.92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1.10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4.27 ± 0.47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Спокойный — Раздражающий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3.91 ± 0.70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4.00 ± 0.63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4.82 ± 0.40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Профессиональный — Любительский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3.55 ± 0.82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4.36 ± 0.81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1.17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Дорогой — Дешёвый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3.5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3.73 ± 0.90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3.27 ± 0.65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3.82 ± 0.87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</w:t>
            </w:r>
          </w:p>
        </w:tc>
      </w:tr>
      <w:tr>
        <w:tc>
          <w:tcPr>
            <w:tcW w:type="dxa" w:w="292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Технологичный — Устаревший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4.0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3.36 ± 0.92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4.36 ± 0.67</w:t>
            </w:r>
          </w:p>
        </w:tc>
        <w:tc>
          <w:tcPr>
            <w:tcW w:type="dxa" w:w="15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3.36 ± 0.92</w:t>
            </w:r>
          </w:p>
        </w:tc>
        <w:tc>
          <w:tcPr>
            <w:tcW w:type="dxa" w:w="6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Формат ячейки — среднее ± стандартное отклонение.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416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Вариант</w:t>
            </w:r>
          </w:p>
        </w:tc>
        <w:tc>
          <w:tcPr>
            <w:tcW w:type="dxa" w:w="173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Сумма отклонений</w:t>
            </w:r>
          </w:p>
        </w:tc>
        <w:tc>
          <w:tcPr>
            <w:tcW w:type="dxa" w:w="250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Взвешенная сумма</w:t>
            </w:r>
          </w:p>
        </w:tc>
        <w:tc>
          <w:tcPr>
            <w:tcW w:type="dxa" w:w="95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Место</w:t>
            </w:r>
          </w:p>
        </w:tc>
      </w:tr>
      <w:tr>
        <w:tc>
          <w:tcPr>
            <w:tcW w:type="dxa" w:w="416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C «Тёплый локальный»</w:t>
            </w:r>
          </w:p>
        </w:tc>
        <w:tc>
          <w:tcPr>
            <w:tcW w:type="dxa" w:w="173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7.95</w:t>
            </w:r>
          </w:p>
        </w:tc>
        <w:tc>
          <w:tcPr>
            <w:tcW w:type="dxa" w:w="250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9.77</w:t>
            </w:r>
          </w:p>
        </w:tc>
        <w:tc>
          <w:tcPr>
            <w:tcW w:type="dxa" w:w="9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416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B «Технологичный»</w:t>
            </w:r>
          </w:p>
        </w:tc>
        <w:tc>
          <w:tcPr>
            <w:tcW w:type="dxa" w:w="173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9.41</w:t>
            </w:r>
          </w:p>
        </w:tc>
        <w:tc>
          <w:tcPr>
            <w:tcW w:type="dxa" w:w="250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10.77</w:t>
            </w:r>
          </w:p>
        </w:tc>
        <w:tc>
          <w:tcPr>
            <w:tcW w:type="dxa" w:w="9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416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A «Доверие»</w:t>
            </w:r>
          </w:p>
        </w:tc>
        <w:tc>
          <w:tcPr>
            <w:tcW w:type="dxa" w:w="173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10.77</w:t>
            </w:r>
          </w:p>
        </w:tc>
        <w:tc>
          <w:tcPr>
            <w:tcW w:type="dxa" w:w="250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13.05</w:t>
            </w:r>
          </w:p>
        </w:tc>
        <w:tc>
          <w:tcPr>
            <w:tcW w:type="dxa" w:w="9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</w:tr>
    </w:tbl>
    <w:p>
      <w:pPr>
        <w:spacing w:after="8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0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5 — Диаграмма-профиль трёх вариантов. Пунктир — целевой профиль, заданный до проведения теста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На диаграмме видно, что линия варианта C на большинстве шкал проходит ближе к пунктирной линии цели. Наибольшие расхождения у всех вариантов приходятся на верхнюю часть диаграммы — пары «Полезный», «Честный», «Надёжный»: ни один вариант не достиг целевого значения 5,0. Это закономерно: доверие к площадке формируется содержанием, а не цветом, и цветовое решение может лишь не мешать ему.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Содержательный разбор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Вариант C выигрывает по шкалам «Спокойный» (4.82 — лучшая оценка в таблице при наименьшем разбросе 0.40), «Добрый» (4.55) и «Безопасный» (4.55). Это соответствует условиям использования из ЛР № 1: 58,7 % респондентов заходят в приложение вечером, когда визуальная агрессия воспринимается особенно остро.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Вариант C уступает по шкалам «Технологичный» (3.36 при цели 4,0) и «Профессиональный» (3.82 при цели 4,5) — по ним лидирует вариант B. Таким образом, бизнес-задача ЛР № 1 п. 13.4 о технологичном образе площадки решается выбранным вариантом не полностью; компенсировать это следует средствами типографики и компоновки, а не цветом.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Исходный вариант A, предложенный в ЛР № 2, занял последнее место (13.05). Он проиграл прежде всего по шкалам «Понятный» (3.64 при цели 5,0), «Полезный» (3.73) и «Надёжный» (3.82), то есть именно по тем характеристикам, которые закрывают ключевые барьеры онлайн-покупки, выявленные в ЛР № 1.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Контрольный вопрос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54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Вариант</w:t>
            </w:r>
          </w:p>
        </w:tc>
        <w:tc>
          <w:tcPr>
            <w:tcW w:type="dxa" w:w="190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Выбрали</w:t>
            </w:r>
          </w:p>
        </w:tc>
        <w:tc>
          <w:tcPr>
            <w:tcW w:type="dxa" w:w="190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Доля</w:t>
            </w:r>
          </w:p>
        </w:tc>
      </w:tr>
      <w:tr>
        <w:tc>
          <w:tcPr>
            <w:tcW w:type="dxa" w:w="55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A «Доверие»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18 %</w:t>
            </w:r>
          </w:p>
        </w:tc>
      </w:tr>
      <w:tr>
        <w:tc>
          <w:tcPr>
            <w:tcW w:type="dxa" w:w="55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B «Технологичный»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27 %</w:t>
            </w:r>
          </w:p>
        </w:tc>
      </w:tr>
      <w:tr>
        <w:tc>
          <w:tcPr>
            <w:tcW w:type="dxa" w:w="554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C «Тёплый локальный»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19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55 %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Прямой выбор подтверждает результат по шкалам: вариант C предпочли 6 респондентов из 11.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Различия между группами пользователей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Оценки разобраны по группам, выделенным в ЛР № 1. Это важно, поскольку группы различаются и возрастом, и опытом онлайн-покупок.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435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Группа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Человек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A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C</w:t>
            </w:r>
          </w:p>
        </w:tc>
        <w:tc>
          <w:tcPr>
            <w:tcW w:type="dxa" w:w="10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Лучший</w:t>
            </w:r>
          </w:p>
        </w:tc>
      </w:tr>
      <w:tr>
        <w:tc>
          <w:tcPr>
            <w:tcW w:type="dxa" w:w="435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«Осознанные покупательницы» 25–34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8.25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6.75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6.75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435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«Новички» 35 и старше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14.50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11.75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11.75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</w:t>
            </w:r>
          </w:p>
        </w:tc>
      </w:tr>
      <w:tr>
        <w:tc>
          <w:tcPr>
            <w:tcW w:type="dxa" w:w="435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«Быстрые покупатели» 18–24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18.50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15.17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14.17</w:t>
            </w:r>
          </w:p>
        </w:tc>
        <w:tc>
          <w:tcPr>
            <w:tcW w:type="dxa" w:w="10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В таблице приведено взвешенное отклонение от целевого профиля внутри каждой группы: чем меньше значение, тем ближе вариант к цели. Группы разошлись в оценках, поэтому итоговый выбор опирается на выборку в целом; расхождение зафиксировано как ограничение исследования. Следует учитывать, что при разбиении на группы численность каждой составляет три-четыре человека, поэтому различия между группами носят характер наблюдения, а не статистически значимого вывода.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Проверка эффекта порядка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Поскольку порядок показа ротировался, проверено, не объясняется ли результат позицией предъявления.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Позиция показа</w:t>
            </w:r>
          </w:p>
        </w:tc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Средняя оценка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1-й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3.915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2-й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3.994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3-й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3.897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Разброс между позициями составляет 0.097 балла, то есть позиция на оценку практически не влияла. Дополнительно пересчитаны отклонения только по тем респондентам, которые видели соответствующий вариант не первым: Вариант A «Доверие» — 12.25, Вариант B «Технологичный» — 13.33, Вариант C «Тёплый локальный» — 9.25. Вариант C сохраняет первое место, следовательно результат устойчив.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2 Проектирование прототипа пользовательского интерфейса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2.1 Модульная сетка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Для адаптации выбрана страница </w:t>
      </w:r>
      <w:r>
        <w:rPr>
          <w:rFonts w:ascii="Times New Roman" w:hAnsi="Times New Roman" w:eastAsia="Times New Roman"/>
          <w:b/>
          <w:i w:val="0"/>
          <w:sz w:val="28"/>
        </w:rPr>
        <w:t>каталога с фильтрами</w:t>
      </w:r>
      <w:r>
        <w:rPr>
          <w:rFonts w:ascii="Times New Roman" w:hAnsi="Times New Roman" w:eastAsia="Times New Roman"/>
          <w:b w:val="0"/>
          <w:i w:val="0"/>
          <w:sz w:val="28"/>
        </w:rPr>
        <w:t>: её структура (боковая панель фильтров и сетка карточек) перестраивается на каждом шаге, поэтому адаптация содержательна, а не сводится к изменению ширины.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Применена двенадцатиколоночная сетка — наиболее распространённая в веб-дизайне и рекомендованная методическими указаниями: двенадцать делится на четыре, три и два, что позволяет без остатка разложить контент в любое из этих чисел колонок. На узких разрешениях число колонок сокращается до восьми и четырёх, поскольку двенадцать колонок шириной менее 40 px теряют смысл.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Ширина контейнера рассчитана по формуле из методических указаний: контейнер = колонка × N + гаттер × (N − 1). Для монтажной области 1440 px при полях 60 px контейнер равен 1320 px, что при двенадцати колонках и гаттере 24 px даёт колонку 88 px: 12 × 88 + 11 × 24 = 1056 + 264 = 1320.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Боковая панель фильтров занимает три колонки — 3 × 88 + 2 × 24 = 312 px, сетка товаров девять колонок. Фактическая ширина панели в собранном макете составляет ровно 312 px, что подтверждено измерением в браузере.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30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Диапазон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Артборд</w:t>
            </w:r>
          </w:p>
        </w:tc>
        <w:tc>
          <w:tcPr>
            <w:tcW w:type="dxa" w:w="95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Контейнер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Колонок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Гаттер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Колонка</w:t>
            </w:r>
          </w:p>
        </w:tc>
        <w:tc>
          <w:tcPr>
            <w:tcW w:type="dxa" w:w="74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Поля</w:t>
            </w:r>
          </w:p>
        </w:tc>
        <w:tc>
          <w:tcPr>
            <w:tcW w:type="dxa" w:w="337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Проверка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1440+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1320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88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 × 88 + 11 × 24 = 1320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992–1199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984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20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 × 60 + 11 × 24 = 984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768–991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720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69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 × 69 + 7 × 24 = 720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576–767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552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55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 × 55 + 7 × 16 = 552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400–575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414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stretch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83.5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резиновая сетка</w:t>
            </w:r>
          </w:p>
        </w:tc>
      </w:tr>
      <w:tr>
        <w:tc>
          <w:tcPr>
            <w:tcW w:type="dxa" w:w="130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320–399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9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stretch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70</w:t>
            </w:r>
          </w:p>
        </w:tc>
        <w:tc>
          <w:tcPr>
            <w:tcW w:type="dxa" w:w="74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33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резиновая сетка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2.2 Адаптивные макеты веб-страницы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Макеты разработаны для шести разрешений, требуемых методическими указаниями. Реализованы </w:t>
      </w:r>
      <w:r>
        <w:rPr>
          <w:rFonts w:ascii="Times New Roman" w:hAnsi="Times New Roman" w:eastAsia="Times New Roman"/>
          <w:b/>
          <w:i w:val="0"/>
          <w:sz w:val="28"/>
        </w:rPr>
        <w:t>единой разметкой с медиазапросами</w:t>
      </w:r>
      <w:r>
        <w:rPr>
          <w:rFonts w:ascii="Times New Roman" w:hAnsi="Times New Roman" w:eastAsia="Times New Roman"/>
          <w:b w:val="0"/>
          <w:i w:val="0"/>
          <w:sz w:val="28"/>
        </w:rPr>
        <w:t>, а не шестью отдельными изображениями: переходы между состояниями можно наблюдать, изменяя ширину окна браузера.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16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Диапазон</w:t>
            </w:r>
          </w:p>
        </w:tc>
        <w:tc>
          <w:tcPr>
            <w:tcW w:type="dxa" w:w="116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Артборд</w:t>
            </w:r>
          </w:p>
        </w:tc>
        <w:tc>
          <w:tcPr>
            <w:tcW w:type="dxa" w:w="701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Изменения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1440+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Сайдбар фильтров 3 колонки слева, сетка 4 карточки в ряд. Поиск развёрнут в шапке, вся глобальная навигация видна.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992–1199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Сайдбар сохраняется, сетка сокращается до 3 карточек. Названия категорий в шапке без изменений.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768–991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Сайдбар сворачивается в кнопку «Фильтры» и выдвижную панель. Сетка 3 карточки. Поиск сжимается, утилиты шапки — только иконки.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576–767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Сетка 2 карточки. Сортировка переезжает в нижнюю всплывающую панель. Хлебные крошки сокращаются до последнего уровня.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400–575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414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Категории — горизонтальная лента с прокруткой. Внизу закрепляется панель «Фильтры · Сортировка». Поиск — по иконке.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320–399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Сетка 2 карточки с уплотнённой типографикой: название в две строки, цена и рейтинг в одну. Отступы 16 px, кнопка «В корзину» на всю ширину.</w:t>
            </w:r>
          </w:p>
        </w:tc>
      </w:tr>
    </w:tbl>
    <w:p>
      <w:pPr>
        <w:spacing w:after="8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843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-wid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6 — Каталог на широких разрешениях: сайдбар фильтров сохраняется, меняется плотность сетки товаров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430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-narr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43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7 — Каталог на узких разрешениях: фильтры убираются в выдвижную панель, появляется закреплённая строка управления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На разрешении 768 px боковая панель фильтров заменяется кнопкой с указанием числа применённых фильтров: панель занимает слишком много места, но скрывать сам факт фильтрации нельзя, иначе пользователь не поймёт, почему видит неполный каталог. Начиная с 575 px управление сортировкой и фильтрами переносится в закреплённую внизу строку — в зону, достижимую большим пальцем. На 360 px из карточки убирается краткое описание: при ширине карточки 158 px оно занимало бы четыре строки и вытесняло цену за пределы экрана.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Каждое состояние проверено в браузере измерением фактических значений: ширина контейнера, число колонок сетки, ширина карточки, видимость боковой панели, наличие горизонтальной прокрутки.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9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Ширина окна</w:t>
            </w:r>
          </w:p>
        </w:tc>
        <w:tc>
          <w:tcPr>
            <w:tcW w:type="dxa" w:w="98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Карточек в ряд</w:t>
            </w:r>
          </w:p>
        </w:tc>
        <w:tc>
          <w:tcPr>
            <w:tcW w:type="dxa" w:w="18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Ширина карточки</w:t>
            </w:r>
          </w:p>
        </w:tc>
        <w:tc>
          <w:tcPr>
            <w:tcW w:type="dxa" w:w="1800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Сайдбар</w:t>
            </w:r>
          </w:p>
        </w:tc>
        <w:tc>
          <w:tcPr>
            <w:tcW w:type="dxa" w:w="218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Кнопка «Фильтры»</w:t>
            </w:r>
          </w:p>
        </w:tc>
        <w:tc>
          <w:tcPr>
            <w:tcW w:type="dxa" w:w="148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Горизонтальная прокрутка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1440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224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есть, 312 px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223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есть, 228 px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768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219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скрыт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268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скрыт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414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183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скрыт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закреплена внизу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c>
          <w:tcPr>
            <w:tcW w:type="dxa" w:w="1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360</w:t>
            </w:r>
          </w:p>
        </w:tc>
        <w:tc>
          <w:tcPr>
            <w:tcW w:type="dxa" w:w="98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158 px</w:t>
            </w:r>
          </w:p>
        </w:tc>
        <w:tc>
          <w:tcPr>
            <w:tcW w:type="dxa" w:w="1800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скрыт</w:t>
            </w:r>
          </w:p>
        </w:tc>
        <w:tc>
          <w:tcPr>
            <w:tcW w:type="dxa" w:w="218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закреплена внизу</w:t>
            </w:r>
          </w:p>
        </w:tc>
        <w:tc>
          <w:tcPr>
            <w:tcW w:type="dxa" w:w="1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При проверке выявлены и устранены два нарушения собственного руководства по стилям: кнопка «В корзину» на узких экранах имела высоту 38 px, а нижняя панель навигации — 43 px при требовании ЛР № 1 п. 2.3 не менее 44 pt для iOS и 48 dp для Android.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2.3 Макеты экрана мобильного приложения для пяти устройств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В соответствии с методическими указаниями выбрано пять устройств, включая планшеты. Проектируемый экран — </w:t>
      </w:r>
      <w:r>
        <w:rPr>
          <w:rFonts w:ascii="Times New Roman" w:hAnsi="Times New Roman" w:eastAsia="Times New Roman"/>
          <w:b/>
          <w:i w:val="0"/>
          <w:sz w:val="28"/>
        </w:rPr>
        <w:t>главная после авторизации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 лентой «Специально для вас».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97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Устройство</w:t>
            </w:r>
          </w:p>
        </w:tc>
        <w:tc>
          <w:tcPr>
            <w:tcW w:type="dxa" w:w="158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Размер</w:t>
            </w:r>
          </w:p>
        </w:tc>
        <w:tc>
          <w:tcPr>
            <w:tcW w:type="dxa" w:w="101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Платформа</w:t>
            </w:r>
          </w:p>
        </w:tc>
        <w:tc>
          <w:tcPr>
            <w:tcW w:type="dxa" w:w="71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Колонок карточек</w:t>
            </w:r>
          </w:p>
        </w:tc>
        <w:tc>
          <w:tcPr>
            <w:tcW w:type="dxa" w:w="405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Особенности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iPhone SE (3rd)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375 × 667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iOS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минимальный кейс; проверка AC-02.1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iPhone 15 Pro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393 × 852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iOS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safe area, Dynamic Island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Pixel 7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412 × 915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Android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Material, системная кнопка «Назад»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iPad mini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744 × 1133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iPadOS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колонки карточек, side rail</w:t>
            </w:r>
          </w:p>
        </w:tc>
      </w:tr>
      <w:tr>
        <w:tc>
          <w:tcPr>
            <w:tcW w:type="dxa" w:w="197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iPad Pro 11"</w:t>
            </w:r>
          </w:p>
        </w:tc>
        <w:tc>
          <w:tcPr>
            <w:tcW w:type="dxa" w:w="158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834 × 1194</w:t>
            </w:r>
          </w:p>
        </w:tc>
        <w:tc>
          <w:tcPr>
            <w:tcW w:type="dxa" w:w="101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iPadOS</w:t>
            </w:r>
          </w:p>
        </w:tc>
        <w:tc>
          <w:tcPr>
            <w:tcW w:type="dxa" w:w="7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40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master-detail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Планшеты включены в набор, несмотря на то что основным устройством их назвали лишь 2,2 % респондентов опроса ЛР № 1: планшетные компоновки необходимы кабинету продавца и панели модератора, где обрабатывается от 100 до 200 карточек в день. Таким образом планшет проектируется как рабочая, а не покупательская среда.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00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0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8 — Главная после авторизации на пяти устройствах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Сетка карточек изменяется с двух колонок на смартфонах до трёх на iPad mini и четырёх на iPad Pro. Нижняя панель навигации во всех размерах сохраняет пять пунктов — Главная, Поиск, Избранное, Корзина, Профиль, — как зафиксировано в системе навигации ЛР № 2, п. 2.3; вход в каталог осуществляется с главной и из результатов поиска, чтобы не выходить за предел пяти иконок.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Размер интерактивных элементов проверен отдельно. В первой редакции макетов кнопка «В корзину» имела высоту 38 px, а пункт нижней панели — 43 px, что нарушало требование ЛР № 1, п. 2.3 о крупных тач-зонах и рекомендации платформ: не менее 44 pt для iOS и 48 dp для Android. Значения исправлены до 48 px.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Поддержана тёмная тема: 58,7 % респондентов опроса ЛР № 1 пользуются приложением вечером с 19:00 до 23:00.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4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rk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9 — Тёмная тема: каталог и главная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2.4 Интерактивный прототип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Прототип реализован как связанный набор экранов, открывающийся в браузере. Переходы между экранами — действующие, а не имитированные изображениями; «Ассистент по размеру» открывается всплывающей панелью поверх карточки товара, что соответствует классификации временного интерфейса из ЛР № 2, п. 1.3.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7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01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Экран</w:t>
            </w:r>
          </w:p>
        </w:tc>
        <w:tc>
          <w:tcPr>
            <w:tcW w:type="dxa" w:w="405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Действие</w:t>
            </w:r>
          </w:p>
        </w:tc>
        <w:tc>
          <w:tcPr>
            <w:tcW w:type="dxa" w:w="140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Переход</w:t>
            </w:r>
          </w:p>
        </w:tc>
        <w:tc>
          <w:tcPr>
            <w:tcW w:type="dxa" w:w="119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Вариант использования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Вход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«Войти» либо вход по отпечатку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Лента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UC-20, UC-21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Лента «Специально для вас»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выбор карточки товара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Карточка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UC-01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 товара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чтение описания из четырёх подблоков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UC-03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Ассистент по размеру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ввод роста и обхвата, получение рекомендации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всплывающая панель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UC-04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 товара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«В корзину»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Корзина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UC-05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Корзина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выбор способа оплаты, «Оформить заказ»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Подтверждение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UC-06</w:t>
            </w:r>
          </w:p>
        </w:tc>
      </w:tr>
      <w:tr>
        <w:tc>
          <w:tcPr>
            <w:tcW w:type="dxa" w:w="6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Заказ оформлен</w:t>
            </w:r>
          </w:p>
        </w:tc>
        <w:tc>
          <w:tcPr>
            <w:tcW w:type="dxa" w:w="405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номер заказа, пункт выдачи, условия возврата</w:t>
            </w:r>
          </w:p>
        </w:tc>
        <w:tc>
          <w:tcPr>
            <w:tcW w:type="dxa" w:w="140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→ Лента</w:t>
            </w:r>
          </w:p>
        </w:tc>
        <w:tc>
          <w:tcPr>
            <w:tcW w:type="dxa" w:w="119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UC-23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Соответствие прототипа требованиям предыдущих работ проверено автоматически по тринадцати пунктам: описание размещено выше кнопки «В корзину» (AC-02.1), присутствуют все четыре подблока описания (AC-02.2), отсутствуют термины автоматической генерации (AC-02.6, ОГР-2), параметры размера вводятся непосредственно в ассистенте без перехода в профиль (US-04), срок возврата виден до оформления заказа (US-12), пункт самовывоза предложен по умолчанию, а способы оплаты упорядочены по данным опроса ЛР № 1 — банковская карта первой, ЕРИП третьим. Размер интерактивных элементов во всех экранах не менее 48 px.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97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9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10 — Экраны интерактивного прототипа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8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Требование</w:t>
            </w:r>
          </w:p>
        </w:tc>
        <w:tc>
          <w:tcPr>
            <w:tcW w:type="dxa" w:w="138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Источник</w:t>
            </w:r>
          </w:p>
        </w:tc>
        <w:tc>
          <w:tcPr>
            <w:tcW w:type="dxa" w:w="448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Как реализовано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Описание выше кнопки «В корзину»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AC-02.1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блок описания предшествует кнопке в потоке документа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Четыре подблока описания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AC-02.2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состав, посадка, уход, размерная сетка бренда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Незаполненный подблок не остаётся пустым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AC-02.2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выводится строка «Продавец не указал»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Нет терминов генерации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AC-02.6, ОГР-2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 покупательском контуре отсутствуют NLP, LLM, «ИИ-описание»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Ассистент по размеру — временный интерфейс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2, п. 1.3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открывается панелью поверх карточки, не отдельным экраном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Ввод параметров без ухода в профиль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US-04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поля роста и обхвата внутри панели ассистента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Условия возврата до оформления заказа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US-12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срок возврата показан в итоговой сводке корзины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Пункт самовывоза по умолчанию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опрос ЛР № 1, 78,3 %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выбран заранее, доставка бесплатна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Порядок способов оплаты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опрос ЛР № 1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карта онлайн первой (69,6 %), ЕРИП третьим (0 выборов из 46)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Биометрический вход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1, п. 2.3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кнопка входа по отпечатку на экране авторизации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Формат номера заказа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4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MS-2026-000154 по шаблону из физической модели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Нижняя панель навигации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2, п. 2.3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Главная, Поиск, Избранное, Корзина, Профиль</w:t>
            </w:r>
          </w:p>
        </w:tc>
      </w:tr>
      <w:tr>
        <w:tc>
          <w:tcPr>
            <w:tcW w:type="dxa" w:w="348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Размер тач-зон</w:t>
            </w:r>
          </w:p>
        </w:tc>
        <w:tc>
          <w:tcPr>
            <w:tcW w:type="dxa" w:w="138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ЛР № 1, п. 2.3</w:t>
            </w:r>
          </w:p>
        </w:tc>
        <w:tc>
          <w:tcPr>
            <w:tcW w:type="dxa" w:w="44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менее 48 px на всех экранах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20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Что</w:t>
            </w:r>
          </w:p>
        </w:tc>
        <w:tc>
          <w:tcPr>
            <w:tcW w:type="dxa" w:w="61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Адрес</w:t>
            </w:r>
          </w:p>
        </w:tc>
      </w:tr>
      <w:tr>
        <w:tc>
          <w:tcPr>
            <w:tcW w:type="dxa" w:w="3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Интерактивный прототип</w:t>
            </w:r>
          </w:p>
        </w:tc>
        <w:tc>
          <w:tcPr>
            <w:tcW w:type="dxa" w:w="61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https://fpmi-hci-2026.github.io/hci-10-project-group-1/lab5/mockups/prototype-login.html</w:t>
            </w:r>
          </w:p>
        </w:tc>
      </w:tr>
      <w:tr>
        <w:tc>
          <w:tcPr>
            <w:tcW w:type="dxa" w:w="3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Адаптивные макеты каталога</w:t>
            </w:r>
          </w:p>
        </w:tc>
        <w:tc>
          <w:tcPr>
            <w:tcW w:type="dxa" w:w="61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https://fpmi-hci-2026.github.io/hci-10-project-group-1/lab5/mockups/responsive-catalog.html</w:t>
            </w:r>
          </w:p>
        </w:tc>
      </w:tr>
      <w:tr>
        <w:tc>
          <w:tcPr>
            <w:tcW w:type="dxa" w:w="3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Экраны на пяти устройствах</w:t>
            </w:r>
          </w:p>
        </w:tc>
        <w:tc>
          <w:tcPr>
            <w:tcW w:type="dxa" w:w="61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https://fpmi-hci-2026.github.io/hci-10-project-group-1/lab5/mockups/devices.html</w:t>
            </w:r>
          </w:p>
        </w:tc>
      </w:tr>
      <w:tr>
        <w:tc>
          <w:tcPr>
            <w:tcW w:type="dxa" w:w="3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Макеты в Figma</w:t>
            </w:r>
          </w:p>
        </w:tc>
        <w:tc>
          <w:tcPr>
            <w:tcW w:type="dxa" w:w="61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https://www.figma.com/design/DIsarmkx75gQIm7ncRLsAZ/МаркетШоп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Дополнительно разработано техническое задание на сборку прототипа в Figma (</w:t>
      </w:r>
      <w:r>
        <w:rPr>
          <w:rFonts w:ascii="Courier New" w:hAnsi="Courier New" w:eastAsia="Courier New"/>
          <w:b w:val="0"/>
          <w:i w:val="0"/>
          <w:sz w:val="22"/>
        </w:rPr>
        <w:t>prototype/figma-spec.md</w:t>
      </w:r>
      <w:r>
        <w:rPr>
          <w:rFonts w:ascii="Times New Roman" w:hAnsi="Times New Roman" w:eastAsia="Times New Roman"/>
          <w:b w:val="0"/>
          <w:i w:val="0"/>
          <w:sz w:val="28"/>
        </w:rPr>
        <w:t>): структура файла, коллекции переменных, 21 компонент с перечнем состояний и карта переходов с шестью ветвями отказа, соответствующими кодам ответа API из ЛР № 4 — 422 с перечнем недостающих атрибутов, 409 при заблокированном описании, 409 при попытке захватить взятую задачу модерации, 503 при недоступности сервиса генерации, 401 при истёкшем токене и 413 при превышении размера партии.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3 Руководства по стилям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Разработаны два руководства — для веб- и для мобильного приложения. Оба собираются скриптом </w:t>
      </w:r>
      <w:r>
        <w:rPr>
          <w:rFonts w:ascii="Courier New" w:hAnsi="Courier New" w:eastAsia="Courier New"/>
          <w:b w:val="0"/>
          <w:i w:val="0"/>
          <w:sz w:val="22"/>
        </w:rPr>
        <w:t>tools/gen_style_guide.py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из </w:t>
      </w:r>
      <w:r>
        <w:rPr>
          <w:rFonts w:ascii="Courier New" w:hAnsi="Courier New" w:eastAsia="Courier New"/>
          <w:b w:val="0"/>
          <w:i w:val="0"/>
          <w:sz w:val="22"/>
        </w:rPr>
        <w:t>design/tokens.json</w:t>
      </w:r>
      <w:r>
        <w:rPr>
          <w:rFonts w:ascii="Times New Roman" w:hAnsi="Times New Roman" w:eastAsia="Times New Roman"/>
          <w:b w:val="0"/>
          <w:i w:val="0"/>
          <w:sz w:val="28"/>
        </w:rPr>
        <w:t>, поэтому значения цветов и размеров в руководстве, в макетах и в переменных Figma совпадают по построению.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25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Раздел</w:t>
            </w:r>
          </w:p>
        </w:tc>
        <w:tc>
          <w:tcPr>
            <w:tcW w:type="dxa" w:w="609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Логотип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построение, охранное поле, минимальный размер, запреты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Цвет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31 токенов в светлой и тёмной темах, отчёт о контрасте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Статусы описания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6 бейджей по числу значений перечисления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description.status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Уверенность генератора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 дискретных уровня, скрытые от покупателя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Типографика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 ступеней шкалы, Inter и Manrope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Сетка и отступы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брейкпоинтов, шаг 8 pt, шкала радиусов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Компоненты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21 компонент с вариантами и состояниями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Обработка ошибок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 кодов ответа API, формат RFC 9457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Тон голоса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готовая микрокопия, запрещённые формулировки и термины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Видимость по контурам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что показывается покупателю, продавцу, модератору, администратору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Фотографии товара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соотношение, фон, обязательные кадры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Движение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три длительности, поведение при «уменьшить движение»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Доступность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контраст, размеры текста, фокус, тач-зоны</w:t>
            </w:r>
          </w:p>
        </w:tc>
      </w:tr>
      <w:tr>
        <w:tc>
          <w:tcPr>
            <w:tcW w:type="dxa" w:w="325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Платформенные различия</w:t>
            </w:r>
          </w:p>
        </w:tc>
        <w:tc>
          <w:tcPr>
            <w:tcW w:type="dxa" w:w="609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iOS и Android: гарнитуры, навигация, жесты (только мобильное)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Типографика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Гарнитура основного текста — </w:t>
      </w:r>
      <w:r>
        <w:rPr>
          <w:rFonts w:ascii="Times New Roman" w:hAnsi="Times New Roman" w:eastAsia="Times New Roman"/>
          <w:b/>
          <w:i w:val="0"/>
          <w:sz w:val="28"/>
        </w:rPr>
        <w:t>Inter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логотипа — </w:t>
      </w:r>
      <w:r>
        <w:rPr>
          <w:rFonts w:ascii="Times New Roman" w:hAnsi="Times New Roman" w:eastAsia="Times New Roman"/>
          <w:b/>
          <w:i w:val="0"/>
          <w:sz w:val="28"/>
        </w:rPr>
        <w:t>Manrope ExtraBold</w:t>
      </w:r>
      <w:r>
        <w:rPr>
          <w:rFonts w:ascii="Times New Roman" w:hAnsi="Times New Roman" w:eastAsia="Times New Roman"/>
          <w:b w:val="0"/>
          <w:i w:val="0"/>
          <w:sz w:val="28"/>
        </w:rPr>
        <w:t>. Inter выбран за крупные строчные знаки: в карточке товара много мелкого текста — состав ткани, правила ухода, размерная сетка, — и на 13–14 px разборчивость критична. Дополнительное основание — персонаж Ольга Петровна из ЛР № 1, 48 лет, предпочитающая крупный шрифт; минимальный размер основного текста установлен в 16 px.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13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Ступень</w:t>
            </w:r>
          </w:p>
        </w:tc>
        <w:tc>
          <w:tcPr>
            <w:tcW w:type="dxa" w:w="13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Размер</w:t>
            </w:r>
          </w:p>
        </w:tc>
        <w:tc>
          <w:tcPr>
            <w:tcW w:type="dxa" w:w="152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Интерлиньяж</w:t>
            </w:r>
          </w:p>
        </w:tc>
        <w:tc>
          <w:tcPr>
            <w:tcW w:type="dxa" w:w="10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Начертание</w:t>
            </w:r>
          </w:p>
        </w:tc>
        <w:tc>
          <w:tcPr>
            <w:tcW w:type="dxa" w:w="423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Применение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h1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48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заголовок страницы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h2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30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38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заголовок раздела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h3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32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заголовок блока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h4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19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26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подзаголовок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body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основной текст, минимум для чтения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body-sm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20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описание в карточке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caption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13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18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подписи, метаданные</w:t>
            </w:r>
          </w:p>
        </w:tc>
      </w:tr>
      <w:tr>
        <w:tc>
          <w:tcPr>
            <w:tcW w:type="dxa" w:w="113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label</w:t>
            </w:r>
          </w:p>
        </w:tc>
        <w:tc>
          <w:tcPr>
            <w:tcW w:type="dxa" w:w="13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13 px</w:t>
            </w:r>
          </w:p>
        </w:tc>
        <w:tc>
          <w:tcPr>
            <w:tcW w:type="dxa" w:w="152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 px</w:t>
            </w:r>
          </w:p>
        </w:tc>
        <w:tc>
          <w:tcPr>
            <w:tcW w:type="dxa" w:w="10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600</w:t>
            </w:r>
          </w:p>
        </w:tc>
        <w:tc>
          <w:tcPr>
            <w:tcW w:type="dxa" w:w="423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метки полей, прописные</w:t>
            </w:r>
          </w:p>
        </w:tc>
      </w:tr>
    </w:tbl>
    <w:p>
      <w:pPr>
        <w:spacing w:after="80"/>
      </w:pP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Статусы описания товара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Перечень состояний не придуман, а выведен из физической модели ЛР № 4: поле </w:t>
      </w:r>
      <w:r>
        <w:rPr>
          <w:rFonts w:ascii="Courier New" w:hAnsi="Courier New" w:eastAsia="Courier New"/>
          <w:b w:val="0"/>
          <w:i w:val="0"/>
          <w:sz w:val="22"/>
        </w:rPr>
        <w:t>description.status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объявлено перечислением ровно из шести значений. Следовательно, бейджей в интерфейсе тоже ровно шесть — седьмого состояния система иметь не может.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09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Значение</w:t>
            </w:r>
          </w:p>
        </w:tc>
        <w:tc>
          <w:tcPr>
            <w:tcW w:type="dxa" w:w="285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Подпись в интерфейсе</w:t>
            </w:r>
          </w:p>
        </w:tc>
        <w:tc>
          <w:tcPr>
            <w:tcW w:type="dxa" w:w="138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Цвет</w:t>
            </w:r>
          </w:p>
        </w:tc>
        <w:tc>
          <w:tcPr>
            <w:tcW w:type="dxa" w:w="301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 каком контуре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incomplete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 хватает атрибутов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warning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draft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Черновик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text-muted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pending_moderation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модерации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info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продавец, модератор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blocked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Заблокировано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error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продавец, модератор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returned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Возвращено на правку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on-accent-soft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</w:t>
            </w:r>
          </w:p>
        </w:tc>
      </w:tr>
      <w:tr>
        <w:tc>
          <w:tcPr>
            <w:tcW w:type="dxa" w:w="209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published</w:t>
            </w:r>
          </w:p>
        </w:tc>
        <w:tc>
          <w:tcPr>
            <w:tcW w:type="dxa" w:w="285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Опубликовано</w:t>
            </w:r>
          </w:p>
        </w:tc>
        <w:tc>
          <w:tcPr>
            <w:tcW w:type="dxa" w:w="138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success</w:t>
            </w:r>
          </w:p>
        </w:tc>
        <w:tc>
          <w:tcPr>
            <w:tcW w:type="dxa" w:w="301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продавец, модератор, администратор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Аналогично уровень уверенности генератора </w:t>
      </w:r>
      <w:r>
        <w:rPr>
          <w:rFonts w:ascii="Courier New" w:hAnsi="Courier New" w:eastAsia="Courier New"/>
          <w:b w:val="0"/>
          <w:i w:val="0"/>
          <w:sz w:val="22"/>
        </w:rPr>
        <w:t>description.confidence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три дискретных значения, а не процентная шкала; в очереди модерации они задают порядок проверки, а покупателю не показываются вовсе.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/>
          <w:sz w:val="28"/>
        </w:rPr>
        <w:t>Состояния ошибки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Перечень состояний ошибки получен из таблицы кодов ответа API ЛР № 4. Такой подход гарантирует полноту: интерфейс спроектирован под все состояния, в которых система действительно может оказаться.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16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Код</w:t>
            </w:r>
          </w:p>
        </w:tc>
        <w:tc>
          <w:tcPr>
            <w:tcW w:type="dxa" w:w="1169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Операций в API</w:t>
            </w:r>
          </w:p>
        </w:tc>
        <w:tc>
          <w:tcPr>
            <w:tcW w:type="dxa" w:w="701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Способ показа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401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47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модальное окно входа; после авторизации возврат к прерванному действию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404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24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экран «Не найдено». Чужой ресурс отдаёт 404, а не 403 — интерфейс не должен подтверждать существование объекта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400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подсветка поля формы и подпись под ним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409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баннер с текстом из поля detail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403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14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баннер в теле страницы: пользователь не может это исправить, модальное окно было бы навязчивым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422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подсветка полей из массива missing и общий баннер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429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уведомление с обратным отсчётом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413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ошибка у поля загрузки: партия не более 20 позиций, файл не более 10 МБ</w:t>
            </w:r>
          </w:p>
        </w:tc>
      </w:tr>
      <w:tr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503</w:t>
            </w:r>
          </w:p>
        </w:tc>
        <w:tc>
          <w:tcPr>
            <w:tcW w:type="dxa" w:w="1169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701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отдельное состояние кнопки «Сгенерировать описание»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Два раздела заслуживают отдельного пояснения, поскольку выведены из моделей ЛР № 4, а не из общих рекомендаций по оформлению.</w:t>
      </w:r>
    </w:p>
    <w:p>
      <w:pPr>
        <w:spacing w:before="20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3.1 Трассируемость в код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Имена токенов (</w:t>
      </w:r>
      <w:r>
        <w:rPr>
          <w:rFonts w:ascii="Courier New" w:hAnsi="Courier New" w:eastAsia="Courier New"/>
          <w:b w:val="0"/>
          <w:i w:val="0"/>
          <w:sz w:val="22"/>
        </w:rPr>
        <w:t>brand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accent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on-accent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surface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2"/>
        </w:rPr>
        <w:t>text-muted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прочие) одинаковы в </w:t>
      </w:r>
      <w:r>
        <w:rPr>
          <w:rFonts w:ascii="Courier New" w:hAnsi="Courier New" w:eastAsia="Courier New"/>
          <w:b w:val="0"/>
          <w:i w:val="0"/>
          <w:sz w:val="22"/>
        </w:rPr>
        <w:t>design/tokens.json</w:t>
      </w:r>
      <w:r>
        <w:rPr>
          <w:rFonts w:ascii="Times New Roman" w:hAnsi="Times New Roman" w:eastAsia="Times New Roman"/>
          <w:b w:val="0"/>
          <w:i w:val="0"/>
          <w:sz w:val="28"/>
        </w:rPr>
        <w:t>, в CSS-переменных макетов и в коллекциях переменных Figma. Соответствие дизайна и реализации не требует перевода: разработчик фронтенда использует то же имя, что указано в руководстве.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Выбранная по результатам теста палитра — </w:t>
      </w:r>
      <w:r>
        <w:rPr>
          <w:rFonts w:ascii="Times New Roman" w:hAnsi="Times New Roman" w:eastAsia="Times New Roman"/>
          <w:b/>
          <w:i w:val="0"/>
          <w:sz w:val="28"/>
        </w:rPr>
        <w:t>Вариант C «Тёплый локальный»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шапка и глобальная навигация </w:t>
      </w:r>
      <w:r>
        <w:rPr>
          <w:rFonts w:ascii="Courier New" w:hAnsi="Courier New" w:eastAsia="Courier New"/>
          <w:b w:val="0"/>
          <w:i w:val="0"/>
          <w:sz w:val="22"/>
        </w:rPr>
        <w:t>#3E3228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кнопка ключевого действия </w:t>
      </w:r>
      <w:r>
        <w:rPr>
          <w:rFonts w:ascii="Courier New" w:hAnsi="Courier New" w:eastAsia="Courier New"/>
          <w:b w:val="0"/>
          <w:i w:val="0"/>
          <w:sz w:val="22"/>
        </w:rPr>
        <w:t>#A8462A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фон </w:t>
      </w:r>
      <w:r>
        <w:rPr>
          <w:rFonts w:ascii="Courier New" w:hAnsi="Courier New" w:eastAsia="Courier New"/>
          <w:b w:val="0"/>
          <w:i w:val="0"/>
          <w:sz w:val="22"/>
        </w:rPr>
        <w:t>#FAF6EF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декоративный оттенок </w:t>
      </w:r>
      <w:r>
        <w:rPr>
          <w:rFonts w:ascii="Courier New" w:hAnsi="Courier New" w:eastAsia="Courier New"/>
          <w:b w:val="0"/>
          <w:i w:val="0"/>
          <w:sz w:val="22"/>
        </w:rPr>
        <w:t>#7A8450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4 Планирование этапа концептуального проектирования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65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Шаг</w:t>
            </w:r>
          </w:p>
        </w:tc>
        <w:tc>
          <w:tcPr>
            <w:tcW w:type="dxa" w:w="394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Содержание</w:t>
            </w:r>
          </w:p>
        </w:tc>
        <w:tc>
          <w:tcPr>
            <w:tcW w:type="dxa" w:w="3551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Результат</w:t>
            </w:r>
          </w:p>
        </w:tc>
        <w:tc>
          <w:tcPr>
            <w:tcW w:type="dxa" w:w="1204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Исполнитель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Анализ шаблонов и методик тестирования визуального дизайна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таблица решений, выбор метода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Шепко В.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Разработка пар прилагательных и целевого профиля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15 пар, обоснование по ЛР № 1 — ЛР № 4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Харченко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Подготовка цветовых схем и проверка контраста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 палитры, 126 проверенных пар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Харченко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Сборка макетов для исследования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макетов из одной разметки, фиксация версии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Степук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Проведение теста и обработка результатов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11 анкет, 4 диаграммы-профиля, выбор варианта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Харченко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Адаптивные макеты и макеты устройств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разрешений, 5 устройств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Шепко В.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Руководства по стилям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документа, 33 раздела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Степук А.</w:t>
            </w:r>
          </w:p>
        </w:tc>
      </w:tr>
      <w:tr>
        <w:tc>
          <w:tcPr>
            <w:tcW w:type="dxa" w:w="65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3942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Техническое задание на прототип и сборка в Figma</w:t>
            </w:r>
          </w:p>
        </w:tc>
        <w:tc>
          <w:tcPr>
            <w:tcW w:type="dxa" w:w="3551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ТЗ, карта переходов, интерактивный прототип</w:t>
            </w:r>
          </w:p>
        </w:tc>
        <w:tc>
          <w:tcPr>
            <w:tcW w:type="dxa" w:w="1204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Шепко В., Степук А.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шагов определяется зависимостями по данным: цветовые схемы нельзя подготовить до определения целевого профиля, макеты для исследования — до утверждения схем, а руководства по стилям и прототип — до выбора варианта по результатам теста. Шаги 1 и 2 выполнялись параллельно, равно как шаги 6 и 7 после получения результатов.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Решение строить все артефакты из общего набора токенов принято на шаге 3 и позволило выполнить шаг 7 без переработки: смена палитры по результатам теста свелась к перегенерации документов.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Выходные документы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Требование методических указаний</w:t>
            </w:r>
          </w:p>
        </w:tc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Артефакт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2–3 вида дизайн-макета веб- и мобильного приложения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mockups/visual-language.html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— 3 варианта × 2 экрана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Результаты исследования визуального языка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research/results.md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research/charts/profile-*.svg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Макеты страницы и экрана под разные разрешения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mockups/catalog.html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mockups/responsive-catalog.html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mockups/mobile-home.html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mockups/devices.html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Концептуальные макеты: интерактивные прототипы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prototype/figma-spec.md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prototype/transitions.mmd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, ссылка на Figma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Руководства по стилям для мобильного и веб-приложения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style-guide/web.md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style-guide/mobile.md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Отчёт с планированием этапа и описанием шагов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настоящий документ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Заключение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Исследован визуальный язык продукта. Составлен список из 15 пар прилагательных с целевым профилем, обоснованным данными ЛР № 1 — ЛР № 4 и заданным до проведения теста. Подготовлены три цветовых варианта, различающиеся исключительно значениями токенов.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Проведён тест с 11 респондентами, состав выборки соответствует группам пользователей из ЛР № 1. Выбран вариант Вариант C «Тёплый локальный» с взвешенным отклонением 9.77 против 10.77 и 13.05 у остальных. Результат подтверждён контрольным вопросом (6 из 11) и проверен на устойчивость к эффекту порядка.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Цветовая концепция, предложенная в ЛР № 2, по результатам теста заняла последнее место и заменена. Дополнительно установлено, что её акцентный цвет не удовлетворял требованию WCAG по контрасту. Проектное решение, принятое ранее без проверки, скорректировано эмпирическими данными.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Разработаны адаптивные макеты каталога для шести разрешений и макеты главного экрана для пяти устройств, включая планшеты. Макеты реализованы единой отзывчивой разметкой; каждое состояние проверено измерением фактических значений в браузере.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Разработаны руководства по стилям для веб- и мобильного приложения. Перечень состояний компонентов выведен из кодов ответа API и перечислений базы данных ЛР № 4, а не составлен произвольно, что обеспечивает полноту покрытия состояний системы.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артефакты генерируются из общего набора токенов, поэтому макеты, руководства по стилям и настоящий отчёт согласованы между собой по построению.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Список использованных источников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Давидовская, М. И. Проектирование прототипа приложения : методические указания по выполнению лабораторной работы № 5 / М. И. Давидовская. — Минск : БГУ, 2024.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Харченко, А. Лабораторная работа № 4. Стили интеграции программных систем и проектирование API / А. Харченко, В. Шепко, А. Степук. — Минск : БГУ, 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Харченко, А. Лабораторная работа № 2. Проектирование информационной архитектуры и взаимодействия с пользователем / А. Харченко, В. Шепко, А. Степук. — Минск : БГУ, 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Osgood, C. E. The Measurement of Meaning / C. E. Osgood, G. J. Suci, P. H. Tannenbaum. — University of Illinois Press, 1957.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 Content Accessibility Guidelines (WCAG) 2.1 [Электронный ресурс]. — Режим доступа: https://www.w3.org/TR/WCAG21/. — Дата доступа: 28.10.2026.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Material Design 3. Accessibility [Электронный ресурс]. — Режим доступа: https://m3.material.io/foundations/accessible-design. — Дата доступа: 28.10.2026.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Human Interface Guidelines. Layout [Электронный ресурс]. — Режим доступа: https://developer.apple.com/design/human-interface-guidelines/layout. — Дата доступа: 28.10.2026.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Figma. Prototyping [Электронный ресурс]. — Режим доступа: https://help.figma.com/category/87-prototyping. — Дата доступа: 27.10.2026.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Paletton — The Color Scheme Designer [Электронный ресурс]. — Режим доступа: http://paletton.com. — Дата доступа: 27.10.2026.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Guidelines For Navigation And Categories In E-Commerce [Электронный ресурс]. — Режим доступа: https://www.smashingmagazine.com. — Дата доступа: 27.10.2026.</w:t>
      </w:r>
    </w:p>
    <w:p>
      <w:pPr>
        <w:pStyle w:val="ListNumber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RFC 9457. Problem Details for HTTP APIs [Электронный ресурс]. — Режим доступа: https://www.rfc-editor.org/rfc/rfc9457. — Дата доступа: 20.10.2026.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А. Диаграммы-профили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 xml:space="preserve">Диаграммы построены скриптом </w:t>
      </w:r>
      <w:r>
        <w:rPr>
          <w:rFonts w:ascii="Courier New" w:hAnsi="Courier New" w:eastAsia="Courier New"/>
          <w:b w:val="0"/>
          <w:i w:val="0"/>
          <w:sz w:val="22"/>
        </w:rPr>
        <w:t>tools/gen_visual_report.py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из файла ответов. Пунктирной линией нанесён целевой профиль, заданный до проведения теста.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</w:t>
            </w:r>
          </w:p>
        </w:tc>
        <w:tc>
          <w:tcPr>
            <w:tcW w:type="dxa" w:w="4677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research/charts/profile-all.svg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профили всех трёх вариантов с целевым профилем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research/charts/profile-a.svg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A «Доверие» отдельно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research/charts/profile-b.svg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B «Технологичный» отдельно</w:t>
            </w:r>
          </w:p>
        </w:tc>
      </w:tr>
      <w:tr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research/charts/profile-c.svg</w:t>
            </w:r>
          </w:p>
        </w:tc>
        <w:tc>
          <w:tcPr>
            <w:tcW w:type="dxa" w:w="4677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вариант C «Тёплый локальный» отдельно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Б. Состав файлов и порядок сборки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74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Скрипт</w:t>
            </w:r>
          </w:p>
        </w:tc>
        <w:tc>
          <w:tcPr>
            <w:tcW w:type="dxa" w:w="2793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Входные данные</w:t>
            </w:r>
          </w:p>
        </w:tc>
        <w:tc>
          <w:tcPr>
            <w:tcW w:type="dxa" w:w="3815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Результат</w:t>
            </w:r>
          </w:p>
        </w:tc>
      </w:tr>
      <w:tr>
        <w:tc>
          <w:tcPr>
            <w:tcW w:type="dxa" w:w="27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tools/check_contrast.py</w:t>
            </w:r>
          </w:p>
        </w:tc>
        <w:tc>
          <w:tcPr>
            <w:tcW w:type="dxa" w:w="27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design/tokens.json</w:t>
            </w:r>
          </w:p>
        </w:tc>
        <w:tc>
          <w:tcPr>
            <w:tcW w:type="dxa" w:w="3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design/contrast-report.md</w:t>
            </w:r>
          </w:p>
        </w:tc>
      </w:tr>
      <w:tr>
        <w:tc>
          <w:tcPr>
            <w:tcW w:type="dxa" w:w="27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tools/build_mockups.py</w:t>
            </w:r>
          </w:p>
        </w:tc>
        <w:tc>
          <w:tcPr>
            <w:tcW w:type="dxa" w:w="27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токены, товары, карточка товара</w:t>
            </w:r>
          </w:p>
        </w:tc>
        <w:tc>
          <w:tcPr>
            <w:tcW w:type="dxa" w:w="3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mockups/visual-language.html</w:t>
            </w:r>
          </w:p>
        </w:tc>
      </w:tr>
      <w:tr>
        <w:tc>
          <w:tcPr>
            <w:tcW w:type="dxa" w:w="27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tools/serve_test.py</w:t>
            </w:r>
          </w:p>
        </w:tc>
        <w:tc>
          <w:tcPr>
            <w:tcW w:type="dxa" w:w="27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токены, пары прилагательных</w:t>
            </w:r>
          </w:p>
        </w:tc>
        <w:tc>
          <w:tcPr>
            <w:tcW w:type="dxa" w:w="3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research/raw.csv</w:t>
            </w:r>
          </w:p>
        </w:tc>
      </w:tr>
      <w:tr>
        <w:tc>
          <w:tcPr>
            <w:tcW w:type="dxa" w:w="27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tools/gen_visual_report.py</w:t>
            </w:r>
          </w:p>
        </w:tc>
        <w:tc>
          <w:tcPr>
            <w:tcW w:type="dxa" w:w="27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raw.csv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adjectives.csv</w:t>
            </w:r>
          </w:p>
        </w:tc>
        <w:tc>
          <w:tcPr>
            <w:tcW w:type="dxa" w:w="3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research/results.md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, диаграммы</w:t>
            </w:r>
          </w:p>
        </w:tc>
      </w:tr>
      <w:tr>
        <w:tc>
          <w:tcPr>
            <w:tcW w:type="dxa" w:w="27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tools/build_responsive.py</w:t>
            </w:r>
          </w:p>
        </w:tc>
        <w:tc>
          <w:tcPr>
            <w:tcW w:type="dxa" w:w="27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токены, товары</w:t>
            </w:r>
          </w:p>
        </w:tc>
        <w:tc>
          <w:tcPr>
            <w:tcW w:type="dxa" w:w="3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catalog.html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mobile-home.html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витрины,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BREAKPOINTS.md</w:t>
            </w:r>
          </w:p>
        </w:tc>
      </w:tr>
      <w:tr>
        <w:tc>
          <w:tcPr>
            <w:tcW w:type="dxa" w:w="27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tools/build_prototype.py</w:t>
            </w:r>
          </w:p>
        </w:tc>
        <w:tc>
          <w:tcPr>
            <w:tcW w:type="dxa" w:w="27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токены, товары, карточка товара</w:t>
            </w:r>
          </w:p>
        </w:tc>
        <w:tc>
          <w:tcPr>
            <w:tcW w:type="dxa" w:w="3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mockups/prototype-*.html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— 5 связанных экранов</w:t>
            </w:r>
          </w:p>
        </w:tc>
      </w:tr>
      <w:tr>
        <w:tc>
          <w:tcPr>
            <w:tcW w:type="dxa" w:w="27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tools/make_screenshots.py</w:t>
            </w:r>
          </w:p>
        </w:tc>
        <w:tc>
          <w:tcPr>
            <w:tcW w:type="dxa" w:w="27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макеты, headless Firefox</w:t>
            </w:r>
          </w:p>
        </w:tc>
        <w:tc>
          <w:tcPr>
            <w:tcW w:type="dxa" w:w="3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prototype/screenshots/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 — 19 файлов</w:t>
            </w:r>
          </w:p>
        </w:tc>
      </w:tr>
      <w:tr>
        <w:tc>
          <w:tcPr>
            <w:tcW w:type="dxa" w:w="27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tools/gen_style_guide.py</w:t>
            </w:r>
          </w:p>
        </w:tc>
        <w:tc>
          <w:tcPr>
            <w:tcW w:type="dxa" w:w="27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design/tokens.json</w:t>
            </w:r>
          </w:p>
        </w:tc>
        <w:tc>
          <w:tcPr>
            <w:tcW w:type="dxa" w:w="3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style-guide/web.md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style-guide/mobile.md</w:t>
            </w:r>
          </w:p>
        </w:tc>
      </w:tr>
      <w:tr>
        <w:tc>
          <w:tcPr>
            <w:tcW w:type="dxa" w:w="274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tools/gen_report.py</w:t>
            </w:r>
          </w:p>
        </w:tc>
        <w:tc>
          <w:tcPr>
            <w:tcW w:type="dxa" w:w="2793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все перечисленные артефакты</w:t>
            </w:r>
          </w:p>
        </w:tc>
        <w:tc>
          <w:tcPr>
            <w:tcW w:type="dxa" w:w="3815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настоящий отчёт</w:t>
            </w:r>
          </w:p>
        </w:tc>
      </w:tr>
    </w:tbl>
    <w:p>
      <w:pPr>
        <w:spacing w:after="80"/>
      </w:pPr>
    </w:p>
    <w:p>
      <w:r>
        <w:rPr>
          <w:rFonts w:ascii="Times New Roman" w:hAnsi="Times New Roman" w:eastAsia="Times New Roman"/>
          <w:b w:val="0"/>
          <w:i w:val="0"/>
          <w:sz w:val="28"/>
        </w:rPr>
        <w:t>Пересборка после изменения токенов или данных выполняется повторным запуском скриптов в указанном порядке; значения в отчёте обновляются автоматически.</w:t>
      </w:r>
    </w:p>
    <w:p>
      <w:r>
        <w:br w:type="page"/>
      </w:r>
    </w:p>
    <w:p>
      <w:pPr>
        <w:spacing w:before="0" w:after="16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Приложение В. Экраны интерактивного прототипа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978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Файл</w:t>
            </w:r>
          </w:p>
        </w:tc>
        <w:tc>
          <w:tcPr>
            <w:tcW w:type="dxa" w:w="4376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Экран</w:t>
            </w:r>
          </w:p>
        </w:tc>
      </w:tr>
      <w:tr>
        <w:tc>
          <w:tcPr>
            <w:tcW w:type="dxa" w:w="497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prototype/screenshots/proto-1-вход.png</w:t>
            </w:r>
          </w:p>
        </w:tc>
        <w:tc>
          <w:tcPr>
            <w:tcW w:type="dxa" w:w="43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Вход, включая вход по отпечатку</w:t>
            </w:r>
          </w:p>
        </w:tc>
      </w:tr>
      <w:tr>
        <w:tc>
          <w:tcPr>
            <w:tcW w:type="dxa" w:w="497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prototype/screenshots/proto-2-лента.png</w:t>
            </w:r>
          </w:p>
        </w:tc>
        <w:tc>
          <w:tcPr>
            <w:tcW w:type="dxa" w:w="43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Лента «Специально для вас»</w:t>
            </w:r>
          </w:p>
        </w:tc>
      </w:tr>
      <w:tr>
        <w:tc>
          <w:tcPr>
            <w:tcW w:type="dxa" w:w="497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prototype/screenshots/proto-3-карточка.png</w:t>
            </w:r>
          </w:p>
        </w:tc>
        <w:tc>
          <w:tcPr>
            <w:tcW w:type="dxa" w:w="43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Карточка товара с описанием</w:t>
            </w:r>
          </w:p>
        </w:tc>
      </w:tr>
      <w:tr>
        <w:tc>
          <w:tcPr>
            <w:tcW w:type="dxa" w:w="497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prototype/screenshots/proto-4-ассистент.png</w:t>
            </w:r>
          </w:p>
        </w:tc>
        <w:tc>
          <w:tcPr>
            <w:tcW w:type="dxa" w:w="43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Ассистент по размеру</w:t>
            </w:r>
          </w:p>
        </w:tc>
      </w:tr>
      <w:tr>
        <w:tc>
          <w:tcPr>
            <w:tcW w:type="dxa" w:w="497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prototype/screenshots/proto-5-корзина.png</w:t>
            </w:r>
          </w:p>
        </w:tc>
        <w:tc>
          <w:tcPr>
            <w:tcW w:type="dxa" w:w="43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Корзина и выбор оплаты</w:t>
            </w:r>
          </w:p>
        </w:tc>
      </w:tr>
      <w:tr>
        <w:tc>
          <w:tcPr>
            <w:tcW w:type="dxa" w:w="4978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5"/>
              </w:rPr>
              <w:t>prototype/screenshots/proto-6-заказ.png</w:t>
            </w:r>
          </w:p>
        </w:tc>
        <w:tc>
          <w:tcPr>
            <w:tcW w:type="dxa" w:w="4376"/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Подтверждение заказа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pn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