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709"/>
      </w:pPr>
    </w:p>
    <w:p>
      <w:pPr>
        <w:spacing w:after="0"/>
        <w:jc w:val="center"/>
      </w:pPr>
      <w:r>
        <w:rPr>
          <w:b w:val="0"/>
          <w:sz w:val="26"/>
        </w:rPr>
        <w:t>БЕЛОРУССКИЙ ГОСУДАРСТВЕННЫЙ УНИВЕРСИТЕТ</w:t>
      </w:r>
    </w:p>
    <w:p>
      <w:pPr>
        <w:spacing w:after="0"/>
        <w:jc w:val="center"/>
      </w:pPr>
      <w:r>
        <w:rPr>
          <w:b w:val="0"/>
          <w:sz w:val="26"/>
        </w:rPr>
        <w:t>ФАКУЛЬТЕТ ПРИКЛАДНОЙ МАТЕМАТИКИ И ИНФОРМАТИКИ</w:t>
      </w:r>
    </w:p>
    <w:p>
      <w:pPr>
        <w:spacing w:after="0"/>
        <w:jc w:val="center"/>
      </w:pPr>
      <w:r>
        <w:rPr>
          <w:b w:val="0"/>
          <w:sz w:val="26"/>
        </w:rPr>
        <w:t>КАФЕДРА ТЕХНОЛОГИЙ ПРОГРАММИРОВАНИЯ</w:t>
      </w: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jc w:val="center"/>
      </w:pPr>
      <w:r>
        <w:rPr>
          <w:b w:val="0"/>
          <w:sz w:val="28"/>
        </w:rPr>
        <w:t>Отчёт по лабораторной работе № 5</w:t>
      </w:r>
    </w:p>
    <w:p>
      <w:pPr>
        <w:spacing w:after="0"/>
        <w:jc w:val="center"/>
      </w:pPr>
      <w:r>
        <w:rPr>
          <w:b w:val="0"/>
          <w:sz w:val="28"/>
        </w:rPr>
        <w:t>по курсу «Проектирование человеко-машинных интерфейсов»</w:t>
      </w:r>
    </w:p>
    <w:p>
      <w:pPr>
        <w:spacing w:after="0"/>
        <w:ind w:firstLine="709"/>
      </w:pPr>
    </w:p>
    <w:p>
      <w:pPr>
        <w:spacing w:after="0"/>
        <w:jc w:val="center"/>
      </w:pPr>
      <w:r>
        <w:rPr>
          <w:b/>
          <w:sz w:val="38"/>
        </w:rPr>
        <w:t>Проектирование прототипа приложения</w:t>
      </w:r>
    </w:p>
    <w:p>
      <w:pPr>
        <w:spacing w:after="0"/>
        <w:ind w:firstLine="709"/>
      </w:pPr>
    </w:p>
    <w:p>
      <w:pPr>
        <w:spacing w:after="0"/>
        <w:jc w:val="center"/>
      </w:pPr>
      <w:r>
        <w:rPr>
          <w:b w:val="0"/>
          <w:sz w:val="28"/>
        </w:rPr>
        <w:t>Тема проекта: МаркетШоп.by — сервис автоматической генерации описаний товаров в рекомендательной системе маркетплейса одежды и обуви (Республика Беларусь)</w:t>
      </w: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jc w:val="right"/>
      </w:pPr>
      <w:r>
        <w:rPr>
          <w:b w:val="0"/>
          <w:sz w:val="28"/>
        </w:rPr>
        <w:t>Выполнили: студенты 4 курса, группа 10</w:t>
      </w:r>
    </w:p>
    <w:p>
      <w:pPr>
        <w:spacing w:after="0"/>
        <w:jc w:val="right"/>
      </w:pPr>
      <w:r>
        <w:rPr>
          <w:b w:val="0"/>
          <w:sz w:val="28"/>
        </w:rPr>
        <w:t>Харченко Анастасия</w:t>
      </w:r>
    </w:p>
    <w:p>
      <w:pPr>
        <w:spacing w:after="0"/>
        <w:jc w:val="right"/>
      </w:pPr>
      <w:r>
        <w:rPr>
          <w:b w:val="0"/>
          <w:sz w:val="28"/>
        </w:rPr>
        <w:t>Шепко Варвара</w:t>
      </w:r>
    </w:p>
    <w:p>
      <w:pPr>
        <w:spacing w:after="0"/>
        <w:jc w:val="right"/>
      </w:pPr>
      <w:r>
        <w:rPr>
          <w:b w:val="0"/>
          <w:sz w:val="28"/>
        </w:rPr>
        <w:t>Степук Анастасия</w:t>
      </w:r>
    </w:p>
    <w:p>
      <w:pPr>
        <w:spacing w:after="0"/>
        <w:ind w:firstLine="709"/>
      </w:pPr>
    </w:p>
    <w:p>
      <w:pPr>
        <w:spacing w:after="0"/>
        <w:jc w:val="right"/>
      </w:pPr>
      <w:r>
        <w:rPr>
          <w:b w:val="0"/>
          <w:sz w:val="28"/>
        </w:rPr>
        <w:t>Проверила: старший преподаватель кафедры ТП</w:t>
      </w:r>
    </w:p>
    <w:p>
      <w:pPr>
        <w:spacing w:after="0"/>
        <w:jc w:val="right"/>
      </w:pPr>
      <w:r>
        <w:rPr>
          <w:b w:val="0"/>
          <w:sz w:val="28"/>
        </w:rPr>
        <w:t>Давидовская М. И.</w:t>
      </w: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ind w:firstLine="709"/>
      </w:pPr>
    </w:p>
    <w:p>
      <w:pPr>
        <w:spacing w:after="0"/>
        <w:jc w:val="center"/>
      </w:pPr>
      <w:r>
        <w:rPr>
          <w:b w:val="0"/>
          <w:sz w:val="28"/>
        </w:rPr>
        <w:t>Минск, 2026</w:t>
      </w:r>
      <w:r>
        <w:br w:type="page"/>
      </w:r>
    </w:p>
    <w:p>
      <w:pPr>
        <w:spacing w:after="120"/>
        <w:jc w:val="center"/>
      </w:pPr>
      <w:r>
        <w:rPr>
          <w:b/>
          <w:sz w:val="32"/>
        </w:rPr>
        <w:t>Содержание</w:t>
      </w:r>
    </w:p>
    <w:p>
      <w:pPr>
        <w:spacing w:after="0"/>
      </w:pPr>
      <w:r>
        <w:rPr>
          <w:b w:val="0"/>
          <w:sz w:val="24"/>
        </w:rPr>
        <w:t>Оглавление с номерами страниц приведено в PDF-версии отчёта.</w:t>
      </w:r>
      <w:r>
        <w:br w:type="page"/>
      </w:r>
    </w:p>
    <w:p>
      <w:pPr>
        <w:spacing w:after="120"/>
      </w:pPr>
      <w:r>
        <w:rPr>
          <w:b/>
          <w:sz w:val="32"/>
        </w:rPr>
        <w:t>Введение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Работа продолжает проект МаркетШоп.by из ЛР № 1 — ЛР № 4. В ЛР № 2 была разработана информационная архитектура и предложена цветовая концепция, в ЛР № 3 — требования и модели предметной области, в ЛР № 4 — физическая модель базы данных, REST API и MCP-сервер. В настоящей работе исследован визуальный язык продукта, разработаны адаптивные макеты и руководства по стилям для веб- и мобильного приложения.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Ключевой результат работы: </w:t>
      </w:r>
      <w:r>
        <w:rPr>
          <w:b/>
          <w:i w:val="0"/>
          <w:sz w:val="28"/>
        </w:rPr>
        <w:t>цветовая концепция, предложенная в ЛР № 2 «на глаз», проверена эмпирически и по итогам теста заменена.</w:t>
      </w:r>
      <w:r>
        <w:rPr>
          <w:b w:val="0"/>
          <w:i w:val="0"/>
          <w:sz w:val="28"/>
        </w:rPr>
        <w:t xml:space="preserve"> Это соответствует принятой в проекте практике — в ЛР № 2 по результатам опроса были переработаны пять разделов ЛР № 1.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Все артефакты собираются скриптами из трёх источников — </w:t>
      </w:r>
      <w:r>
        <w:rPr>
          <w:rFonts w:ascii="Courier New" w:hAnsi="Courier New"/>
          <w:sz w:val="22"/>
        </w:rPr>
        <w:t>design/tokens.json</w:t>
      </w:r>
      <w:r>
        <w:rPr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research/adjectives.csv</w:t>
      </w:r>
      <w:r>
        <w:rPr>
          <w:b w:val="0"/>
          <w:i w:val="0"/>
          <w:sz w:val="28"/>
        </w:rPr>
        <w:t xml:space="preserve"> и </w:t>
      </w:r>
      <w:r>
        <w:rPr>
          <w:rFonts w:ascii="Courier New" w:hAnsi="Courier New"/>
          <w:sz w:val="22"/>
        </w:rPr>
        <w:t>research/raw.csv</w:t>
      </w:r>
      <w:r>
        <w:rPr>
          <w:b w:val="0"/>
          <w:i w:val="0"/>
          <w:sz w:val="28"/>
        </w:rPr>
        <w:t>. Макеты, руководства по стилям, отчёт о контрасте и настоящий отчёт не набирались вручную, поэтому не могут разойтись между собой.</w:t>
      </w:r>
    </w:p>
    <w:p>
      <w:pPr>
        <w:spacing w:after="0"/>
      </w:pPr>
      <w:r>
        <w:rPr>
          <w:b/>
          <w:i w:val="0"/>
          <w:sz w:val="28"/>
        </w:rPr>
        <w:t>Таблица 1 — Результаты работы по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Задание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Результат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Файлы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1. Исследование визуального языка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15 пар прилагательных с целевым профилем, 3 цветовых варианта, тест с 11 респондентами, 4 диаграммы-профиля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5"/>
              </w:rPr>
              <w:t>research/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mockups/visual-language.html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2. Адаптивные макеты и прототип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6 разрешений веб-страницы, 5 устройств, отзывчивая разметка с медиазапросами, интерактивные прототипы мобильного и веб-приложения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5"/>
              </w:rPr>
              <w:t>mockups/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3. Руководства по стилям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 руководства, 33 раздела, 21 компонент, проверка контраста по WCAG 2.1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5"/>
              </w:rPr>
              <w:t>style-guide/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design/</w:t>
            </w:r>
          </w:p>
        </w:tc>
      </w:tr>
    </w:tbl>
    <w:p/>
    <w:p>
      <w:pPr>
        <w:spacing w:after="120"/>
      </w:pPr>
      <w:r>
        <w:rPr>
          <w:b/>
          <w:sz w:val="32"/>
        </w:rPr>
        <w:t>1 Исследование визуального языка</w:t>
      </w:r>
    </w:p>
    <w:p>
      <w:pPr>
        <w:spacing w:after="120"/>
      </w:pPr>
      <w:r>
        <w:rPr>
          <w:b/>
          <w:sz w:val="28"/>
        </w:rPr>
        <w:t>1.1 Анализ шаблонов и решений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Исследование начато с изучения существующих решений. Рассмотрены товарные страницы и карточки товара на Dribbble и CodePen, обзор элементов интерфейса Usability.gov, материал UXPin о применении шаблонов проектирования и исследование Smashing Magazine о навигационных категориях в электронной коммерции.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Отбор вёлся не по внешней привлекательности, а по пригодности для задач проекта. Каждое решение проверялось на совместимость с информационной архитектурой ЛР № 2 и критериями приёмки ЛР № 3: если шаблон противоречил уже принятому требованию, он отклонялся независимо от того, насколько распространён.</w:t>
      </w:r>
    </w:p>
    <w:p>
      <w:pPr>
        <w:spacing w:after="0"/>
      </w:pPr>
      <w:r>
        <w:rPr>
          <w:b/>
          <w:i w:val="0"/>
          <w:sz w:val="28"/>
        </w:rPr>
        <w:t>Таблица 2 — Заимствованные и отклонённые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Паттерн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Решение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Обоснование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Закреплённая панель покупки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Dribbble, товарные страницы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 частично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решение распространено, но AC-02.1 требует размещать описание выше кнопки «В корзину»; при закреплённой панели кнопка видна всегда и требование теряет смысл, поэтому кнопка размещена в потоке документа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Фасетные фильтры в боковой панели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Smashing Magazine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соответствует системе поиска ЛР № 2, п. 2.4: фильтрация по размеру, цене, бренду и признаку «Сделано в Беларуси»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Мегаменю категорий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Dribbble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отклонён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ЛР № 2 ограничивает число навигационных связей функционального блока тремя; мегаменю нарушает это ограничение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Карточка с кратким описанием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CodePen, product cart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прямо реализует AC-01.2: в карточке ленты выводится summary не длиннее 90 символов, сформированный из того же черновика, что и полное описание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Бейдж происхождения товара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Usability.gov, UI patterns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закрывает US-13: фильтр и отметка «Сделано в Беларуси» как инструмент поддержки локальных брендов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Аккордеон характеристик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UXPin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отклонён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AC-02.2 требует, чтобы все четыре подблока описания — состав, посадка, уход, размерная сетка — были видны без дополнительного действия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Подбор размера по меркам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Dribbble, fashion e-commerce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US-03 и US-04: рекомендация размера с пояснением о посадке, ввод параметров без ухода в профиль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Индикатор доверия к описанию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собственное решение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принят с ограничением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уровень уверенности генератора показывается продавцу и модератору, но скрыт от покупателя (ОГР-2)</w:t>
            </w:r>
          </w:p>
        </w:tc>
      </w:tr>
    </w:tbl>
    <w:p/>
    <w:p>
      <w:pPr>
        <w:spacing w:after="120"/>
      </w:pPr>
      <w:r>
        <w:rPr>
          <w:b/>
          <w:sz w:val="28"/>
        </w:rPr>
        <w:t>1.2 Методика тестирования визуального дизайна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Рассмотрены три подхода к оценке визуального дизайна.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Пятисекундный тест.</w:t>
      </w:r>
      <w:r>
        <w:rPr>
          <w:b w:val="0"/>
          <w:i w:val="0"/>
          <w:sz w:val="28"/>
        </w:rPr>
        <w:t xml:space="preserve"> Макет показывается ровно пять секунд, после чего респондента просят описать, что он запомнил. Метод выявляет, какие элементы захватывают внимание первыми, но не даёт количественной оценки и плохо поддаётся сравнению нескольких вариантов между собой.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Метод предпочтительного выбора.</w:t>
      </w:r>
      <w:r>
        <w:rPr>
          <w:b w:val="0"/>
          <w:i w:val="0"/>
          <w:sz w:val="28"/>
        </w:rPr>
        <w:t xml:space="preserve"> Респондент указывает, какой из вариантов нравится больше. Прост в проведении и обработке, однако измеряет эстетическое предпочтение, а не соответствие дизайна задуманным характеристикам продукта. Вариант может нравиться и при этом не вызывать нужных ассоциаций.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Семантический дифференциал Ч. Осгуда.</w:t>
      </w:r>
      <w:r>
        <w:rPr>
          <w:b w:val="0"/>
          <w:i w:val="0"/>
          <w:sz w:val="28"/>
        </w:rPr>
        <w:t xml:space="preserve"> Респондент оценивает объект по набору биполярных шкал, заданных парами антонимов. Результат — профиль значений, который можно сопоставить с заранее заданным целевым профилем и сравнить между вариантами численно.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Основным выбран </w:t>
      </w:r>
      <w:r>
        <w:rPr>
          <w:b/>
          <w:i w:val="0"/>
          <w:sz w:val="28"/>
        </w:rPr>
        <w:t>семантический дифференциал</w:t>
      </w:r>
      <w:r>
        <w:rPr>
          <w:b w:val="0"/>
          <w:i w:val="0"/>
          <w:sz w:val="28"/>
        </w:rPr>
        <w:t>. Методические указания прямо требуют шкал по парам прилагательных, расчёта средних и построения диаграммы-профиля. Существеннее другое: метод позволяет заранее объявить, каким продукт должен восприниматься, и затем проверить гипотезу, а не подбирать объяснение под полученный результат.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Метод предпочтительного выбора применён дополнительно: последним вопросом анкеты респондент указывает вариант, который выбрал бы сам. Этот ответ не влияет на расчёт и служит проверкой — совпадает ли прямое предпочтение с результатом по шкалам.</w:t>
      </w:r>
    </w:p>
    <w:p>
      <w:pPr>
        <w:spacing w:after="120"/>
      </w:pPr>
      <w:r>
        <w:rPr>
          <w:b/>
          <w:sz w:val="28"/>
        </w:rPr>
        <w:t>1.3 Пары прилагательных и целевой профиль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Семь пар из методических указаний сохранены и дополнены до пятнадцати. Каждая пара обоснована данными ЛР № 1 — ЛР № 4; оценивается по шкале 1–5, где 5 соответствует левому полюсу.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Целевой профиль задан до проведения теста и при обработке не изменялся.</w:t>
      </w:r>
      <w:r>
        <w:rPr>
          <w:b w:val="0"/>
          <w:i w:val="0"/>
          <w:sz w:val="28"/>
        </w:rPr>
        <w:t xml:space="preserve"> Это принципиально: вариант выбирается по минимуму отклонения от заранее объявленной цели, а не подгонкой объяснения под полученный результат.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Для пяти пар целевое значение намеренно не крайнее. Парам «Честный — Лживый» и «Надёжный — Ненадёжный» присвоен двойной вес: они закрывают барьеры, подтверждённые опросом ЛР № 1 (несоответствие описания реальности — 60,9 %, сложности с возвратом — 39,1 %).</w:t>
      </w:r>
    </w:p>
    <w:p>
      <w:pPr>
        <w:spacing w:after="0"/>
      </w:pPr>
      <w:r>
        <w:rPr>
          <w:b/>
          <w:i w:val="0"/>
          <w:sz w:val="28"/>
        </w:rPr>
        <w:t>Таблица 3 — Пары прилагательных, целевые значения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№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Пара (5 — 1)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Цель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Вес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Обоснование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Добрый — Злой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тон интерфейса: польза простым языком, без маркетингового давления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Современный — Классический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образ технологичной площадки, но ядро ЦА включает 35–55 лет (32,6%) — крайняя новизна отталкивает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Молодой — Старый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ЦА 18–55: 25–34 — 39,1%, 18–24 — 28,3%, 35–44 — 21,7%, 45+ — 10,9%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Безопасный — Опасный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оплата картой онлайн 69,6%; недоверие к продавцу — барьер 19,6%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Красивый — Некрасивый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нейтральный фон и белые карточки — ради акцента на фотографиях товара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P06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Интересный — Скучный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монопольный интерфейс, сессии 15–20 мин: не должен отвлекать от выбора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P07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Полезный — Бесполезный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средняя важность достоверного описания 4,33/5, оценок «1» нет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P08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Честный — Лживый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×2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60,9% сталкивались с несоответствием описания реальности; запрет неподтверждённых заявлений о качестве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P09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Надёжный — Ненадёжный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×2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сложности с возвратом/обменом — барьер №1 (39,1%)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Простой — Сложный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Ольга Петровна, 48: низкий/средний уровень владения приложениями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Понятный — Запутанный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термины генерации (NLP, LLM, «ИИ-описание») отсутствуют в покупательском контуре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Спокойный — Раздражающий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58,7% заходят вечером 19:00–23:00; требуется тёмная тема и низкая визуальная агрессия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Профессиональный — Любительский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привлечь малые белорусские бренды: их карточки должны выглядеть солидно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Дорогой — Дешёвый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3.5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«качественная одежда по адекватной цене»: не люкс и не дискаунтер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P15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Технологичный — Устаревший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бизнес-задача: образ технологичной площадки</w:t>
            </w:r>
          </w:p>
        </w:tc>
      </w:tr>
    </w:tbl>
    <w:p/>
    <w:p>
      <w:pPr>
        <w:spacing w:after="120"/>
      </w:pPr>
      <w:r>
        <w:rPr>
          <w:b/>
          <w:sz w:val="28"/>
        </w:rPr>
        <w:t>1.4 Цветовые схемы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Подготовлены три цветовых решения. Вариант A воспроизводит концепцию ЛР № 2 и служит контрольным: именно его предстояло проверить. Варианты B и C сгенерированы в paletton.com — триада и аналоговая схема соответственно; оттенки и тона подобраны в colorhexa.com.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Вариант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Схема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Замысел и проверяемая гипотеза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A «Доверие»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2, контрольный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тёмно-синий как цвет шапки и тёплый оранжевый как цвет действия. Концепция принята в ЛР № 2 исходя из общих соображений, без проверки на пользователях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B «Технологичный»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триада: графит, индиго, бирюзовый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проверяет бизнес-задачу ЛР № 1, п. 13.4 — сформировать образ технологичной площадки. Холодная гамма, характерная для продуктовых и финансовых сервисов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C «Тёплый локальный»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аналоговая: терракота и олива на кремовом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отсылка к идентичности малых белорусских брендов — основной аудитории продавцов по ЛР № 1. Тёплая, приглушённая гамма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Принципиальное условие: </w:t>
      </w:r>
      <w:r>
        <w:rPr>
          <w:b/>
          <w:i w:val="0"/>
          <w:sz w:val="28"/>
        </w:rPr>
        <w:t>набор имён токенов во всех трёх вариантах идентичен</w:t>
      </w:r>
      <w:r>
        <w:rPr>
          <w:b w:val="0"/>
          <w:i w:val="0"/>
          <w:sz w:val="28"/>
        </w:rPr>
        <w:t>, различаются только значения. Благодаря этому макеты собираются из одной разметки, и различие сводится ровно к цвету — то, чего и требуют методические указания.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2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1 — Ключевые токены трёх цветовых вариантов в светлой теме</w:t>
      </w:r>
    </w:p>
    <w:p>
      <w:pPr>
        <w:spacing w:after="0"/>
      </w:pPr>
      <w:r>
        <w:rPr>
          <w:b/>
          <w:i w:val="0"/>
          <w:sz w:val="28"/>
        </w:rPr>
        <w:t>Таблица 4 — Значения основных токенов, светлая 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Токен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A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B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C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bg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фон страницы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#F7F6F3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#F4F6F8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#FAF6EF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surface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карточка, панель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#FFFFFF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#FFFFFF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#FFFFFF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text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основной текст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#1B2432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#141922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#2A231C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text-muted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второстепенный текст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#5F6878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#5E677C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#6F6459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brand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шапка и глобальная навигация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#22304A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#1F2430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#3E3228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accent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кнопка ключевого действия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#AD5A21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#3B5BDB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#A8462A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accent-soft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акцентная плашка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#FBEDE2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#E6EAFB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#F7E6DF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success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успех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#2F7A43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#11795F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#5A7038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warning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предупреждение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#8F6710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#8A6512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#8A6612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error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ошибка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#C0392B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#C2342F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#A83A26</w:t>
            </w:r>
          </w:p>
        </w:tc>
      </w:tr>
      <w:tr>
        <w:tc>
          <w:tcPr>
            <w:tcW w:type="dxa" w:w="1871"/>
          </w:tcPr>
          <w:p>
            <w:r>
              <w:rPr>
                <w:rFonts w:ascii="Courier New" w:hAnsi="Courier New"/>
                <w:sz w:val="15"/>
              </w:rPr>
              <w:t>decor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декоративная заливка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#E07A3F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#17B8A6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#7A8450</w:t>
            </w:r>
          </w:p>
        </w:tc>
      </w:tr>
    </w:tbl>
    <w:p/>
    <w:p>
      <w:pPr>
        <w:spacing w:after="120"/>
      </w:pPr>
      <w:r>
        <w:rPr>
          <w:b/>
          <w:sz w:val="28"/>
        </w:rPr>
        <w:t>Проверка контраста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Цветовое решение проверялось не только на восприятие, но и на доступность. Все сочетания «текст — фон» и «граница — фон» проверены по WCAG 2.1 автоматической проверкой, вычисляющей коэффициент контраста по формуле относительной яркости и сверяет его с порогом: 4,5 : 1 для основного текста, 3 : 1 для границ и графических элементов.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Результат: </w:t>
      </w:r>
      <w:r>
        <w:rPr>
          <w:b/>
          <w:i w:val="0"/>
          <w:sz w:val="28"/>
        </w:rPr>
        <w:t>126 пар, из них обязательных 120; не проходит — 0; уровню AAA соответствует 42</w:t>
      </w:r>
      <w:r>
        <w:rPr>
          <w:b w:val="0"/>
          <w:i w:val="0"/>
          <w:sz w:val="28"/>
        </w:rPr>
        <w:t>.</w:t>
      </w:r>
    </w:p>
    <w:p>
      <w:pPr>
        <w:spacing w:after="0"/>
      </w:pPr>
      <w:r>
        <w:rPr>
          <w:b/>
          <w:i w:val="0"/>
          <w:sz w:val="28"/>
        </w:rPr>
        <w:t>Таблица 5 — Дефекты контраста, выявленные в исходной палитре ЛР №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Сочетание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Контраст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Требуется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Итог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Решение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 xml:space="preserve">Белый текст на </w:t>
            </w:r>
            <w:r>
              <w:rPr>
                <w:rFonts w:ascii="Courier New" w:hAnsi="Courier New"/>
                <w:sz w:val="15"/>
              </w:rPr>
              <w:t>#E07A3F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2,99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4,5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не проходит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 xml:space="preserve">для заливки кнопок введён затемнённый тон </w:t>
            </w:r>
            <w:r>
              <w:rPr>
                <w:rFonts w:ascii="Courier New" w:hAnsi="Courier New"/>
                <w:sz w:val="15"/>
              </w:rPr>
              <w:t>#AD5A21</w:t>
            </w:r>
            <w:r>
              <w:rPr>
                <w:b w:val="0"/>
                <w:i w:val="0"/>
                <w:sz w:val="21"/>
              </w:rPr>
              <w:t xml:space="preserve"> (4,93 : 1); исходный оттенок сохранён как декоративный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 xml:space="preserve">Белый текст на </w:t>
            </w:r>
            <w:r>
              <w:rPr>
                <w:rFonts w:ascii="Courier New" w:hAnsi="Courier New"/>
                <w:sz w:val="15"/>
              </w:rPr>
              <w:t>#C96930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3,77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4,5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не проходит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то же; оттенок использовался как состояние наведения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 xml:space="preserve">Граница поля ввода </w:t>
            </w:r>
            <w:r>
              <w:rPr>
                <w:rFonts w:ascii="Courier New" w:hAnsi="Courier New"/>
                <w:sz w:val="15"/>
              </w:rPr>
              <w:t>#C9C4B9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1,74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не проходит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затемнена до уровня, удовлетворяющего WCAG 1.4.11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Второстепенный текст на плашке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4,23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4,5 : 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не проходит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цвет текста затемнён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Всего скорректировано десять значений в трёх палитрах. Существенно, что дефект обнаружен в концепции, принятой в предыдущей работе: без формальной проверки он перешёл бы в разработку и проявился бы уже на этапе тестирования доступности.</w:t>
      </w:r>
    </w:p>
    <w:p>
      <w:pPr>
        <w:spacing w:after="120"/>
      </w:pPr>
      <w:r>
        <w:rPr>
          <w:b/>
          <w:sz w:val="28"/>
        </w:rPr>
        <w:t>1.5 Дизайн-макеты вариантов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Для исследования выбраны два экрана — по одному на каждую платформу.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Экран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Разрешение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Обоснование выбора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Главная страница веб-приложения с лентой «Специально для вас»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1440 px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лента — содержание главного экрана; персонализированные рекомендации положительно оценили 73,9 % респондентов опроса ЛР № 1. Экран содержит шапку, глобальную навигацию, баннер, сетку карточек и подвал, то есть почти все типовые элементы системы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Карточка товара мобильного приложения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375 px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82,6 % респондентов совершают покупки со смартфона. Карточка — ядро продукта: именно в ней показывается автоматически сформированное описание, ради которого проектируется система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Оба экрана зафиксированы макетами низкой точности ещё в ЛР № 2, поэтому структура не менялась — проверялся только цвет.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Содержание макетов.</w:t>
      </w:r>
      <w:r>
        <w:rPr>
          <w:b w:val="0"/>
          <w:i w:val="0"/>
          <w:sz w:val="28"/>
        </w:rPr>
        <w:t xml:space="preserve"> Веб-главная включает шапку с логотипом, поиском и утилитами, строку глобальной навигации с отметкой «Сделано в Беларуси», баннер и сетку из восьми карточек по четыре в ряд. Каждая карточка содержит фотографию в соотношении 3:4, бренд, название, краткое описание, рейтинг, цену и кнопку действия. Мобильная карточка товара содержит галерею, бренд, название, цену, оценку посадки из отзывов, блок «Ассистент по размеру», описание из четырёх обязательных подблоков, выбор размера с отметкой отсутствующих позиций и кнопку «В корзину».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Достоверность содержания.</w:t>
      </w:r>
      <w:r>
        <w:rPr>
          <w:b w:val="0"/>
          <w:i w:val="0"/>
          <w:sz w:val="28"/>
        </w:rPr>
        <w:t xml:space="preserve"> Краткие описания в карточках не превышают 90 символов — это </w:t>
      </w:r>
      <w:r>
        <w:rPr>
          <w:rFonts w:ascii="Courier New" w:hAnsi="Courier New"/>
          <w:sz w:val="22"/>
        </w:rPr>
        <w:t>CHECK</w:t>
      </w:r>
      <w:r>
        <w:rPr>
          <w:b w:val="0"/>
          <w:i w:val="0"/>
          <w:sz w:val="28"/>
        </w:rPr>
        <w:t>-ограничение базы данных, введённое в ЛР № 4 по критерию AC-01.2. Описание в карточке товара содержит ровно четыре подблока, требуемых AC-02.2. Термины автоматической генерации в макетах отсутствуют, как предписывает ограничение ОГР-2.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Техническая реализация.</w:t>
      </w:r>
      <w:r>
        <w:rPr>
          <w:b w:val="0"/>
          <w:i w:val="0"/>
          <w:sz w:val="28"/>
        </w:rPr>
        <w:t xml:space="preserve"> Макеты собраны из одной разметки на CSS-переменных: переключение набора значений даёт три варианта, у которых гарантированно совпадают сетка, типографика, фотографии и тексты. Способ исключает типичную ошибку подобных исследований, когда варианты непреднамеренно различаются не только цветом и эксперимент начинает измерять две переменные одновременно.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Шрифты Inter и Manrope встроены в файл, внешних ссылок нет: вид макета не зависит от наличия сети во время теста. Это существенно, поскольку при отсутствии загрузки шрифта браузер подставил бы системный и оформление изменилось бы посреди исследования.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Оговорка о данных.</w:t>
      </w:r>
      <w:r>
        <w:rPr>
          <w:b w:val="0"/>
          <w:i w:val="0"/>
          <w:sz w:val="28"/>
        </w:rPr>
        <w:t xml:space="preserve"> Наименования, цены и характеристики товаров в макетах являются демонстрационными; фотографии использованы в учебных целях. На результаты исследования это не влияет: во всех трёх вариантах содержание макетов идентично, а оценивается исключительно цветовое решение.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Перед началом сбора ответов состав материалов зафиксирован контрольными суммами (</w:t>
      </w:r>
      <w:r>
        <w:rPr>
          <w:rFonts w:ascii="Courier New" w:hAnsi="Courier New"/>
          <w:sz w:val="22"/>
        </w:rPr>
        <w:t>research/FREEZE.md</w:t>
      </w:r>
      <w:r>
        <w:rPr>
          <w:b w:val="0"/>
          <w:i w:val="0"/>
          <w:sz w:val="28"/>
        </w:rPr>
        <w:t>) — это подтверждает, что все респонденты оценивали одну и ту же версию макетов.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26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-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2 — Вариант A «Доверие»: веб-главная 1440 px и карточка товара 375 px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26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-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3 — Вариант B «Технологичный»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26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-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4 — Вариант C «Тёплый локальный»</w:t>
      </w:r>
    </w:p>
    <w:p>
      <w:pPr>
        <w:spacing w:after="120"/>
      </w:pPr>
      <w:r>
        <w:rPr>
          <w:b/>
          <w:sz w:val="28"/>
        </w:rPr>
        <w:t>1.6 Организация и проведение теста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В тестировании приняли участие </w:t>
      </w:r>
      <w:r>
        <w:rPr>
          <w:b/>
          <w:i w:val="0"/>
          <w:sz w:val="28"/>
        </w:rPr>
        <w:t>11 респондентов</w:t>
      </w:r>
      <w:r>
        <w:rPr>
          <w:b w:val="0"/>
          <w:i w:val="0"/>
          <w:sz w:val="28"/>
        </w:rPr>
        <w:t>. Состав выборки соответствует группам пользователей, выделенным в ЛР № 1.</w:t>
      </w:r>
    </w:p>
    <w:p>
      <w:pPr>
        <w:spacing w:after="0"/>
      </w:pPr>
      <w:r>
        <w:rPr>
          <w:b/>
          <w:i w:val="0"/>
          <w:sz w:val="28"/>
        </w:rPr>
        <w:t>Таблица 4 — Состав выборки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Группа пользователей из ЛР № 1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Требовалось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Фактически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«Осознанные покупательницы» 25–34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«Новички» 35–55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«Быстрые покупатели» 18–29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Продавцы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Распределение по основному устройству: смартфон — 8, компьютер — 2, планшет — 1.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Анкета реализована собственным веб-сервером: он показывает макеты, задаёт вопросы и записывает ответы непосредственно в </w:t>
      </w:r>
      <w:r>
        <w:rPr>
          <w:rFonts w:ascii="Courier New" w:hAnsi="Courier New"/>
          <w:sz w:val="22"/>
        </w:rPr>
        <w:t>research/raw.csv</w:t>
      </w:r>
      <w:r>
        <w:rPr>
          <w:b w:val="0"/>
          <w:i w:val="0"/>
          <w:sz w:val="28"/>
        </w:rPr>
        <w:t>. Отказ от внешнего сервиса форм исключил рассогласование имён столбцов при выгрузке и позволил назначать порядок показа автоматически.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Соблюдены условия корректности измерения: </w:t>
      </w:r>
      <w:r>
        <w:rPr>
          <w:b/>
          <w:i w:val="0"/>
          <w:sz w:val="28"/>
        </w:rPr>
        <w:t>порядок предъявления вариантов ротировался между респондентами</w:t>
      </w:r>
      <w:r>
        <w:rPr>
          <w:b w:val="0"/>
          <w:i w:val="0"/>
          <w:sz w:val="28"/>
        </w:rPr>
        <w:t xml:space="preserve"> для подавления эффекта первичности; переход к оценке блокировался на 15 секунд, чтобы респондент действительно рассмотрел макет; возврат к предыдущему макету не допускался; все 15 шкал были обязательными.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Ограничение.</w:t>
      </w:r>
      <w:r>
        <w:rPr>
          <w:b w:val="0"/>
          <w:i w:val="0"/>
          <w:sz w:val="28"/>
        </w:rPr>
        <w:t xml:space="preserve"> Респонденты проходили тест самостоятельно со своих устройств, поэтому условия показа — диагональ экрана, яркость, освещение — не были одинаковыми. Взамен исключено влияние ведущего, способного невольно подсказать ожидаемый ответ. Поскольку все три варианта каждый респондент видел на одном и том же устройстве, на сравнение вариантов между собой это не влияет.</w:t>
      </w:r>
    </w:p>
    <w:p>
      <w:pPr>
        <w:spacing w:after="120"/>
      </w:pPr>
      <w:r>
        <w:rPr>
          <w:b/>
          <w:sz w:val="28"/>
        </w:rPr>
        <w:t>1.7 Обработка результатов</w:t>
      </w:r>
    </w:p>
    <w:p>
      <w:pPr>
        <w:spacing w:after="0"/>
      </w:pPr>
      <w:r>
        <w:rPr>
          <w:b/>
          <w:i w:val="0"/>
          <w:sz w:val="28"/>
        </w:rPr>
        <w:t>Таблица 5 — Средние оценки по парам прилагательных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Пара (5 — 1)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Цель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Вес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A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B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C</w:t>
            </w:r>
          </w:p>
        </w:tc>
        <w:tc>
          <w:tcPr>
            <w:tcW w:type="dxa" w:w="1336"/>
          </w:tcPr>
          <w:p>
            <w:r>
              <w:rPr>
                <w:b/>
                <w:i w:val="0"/>
                <w:sz w:val="21"/>
              </w:rPr>
              <w:t>Ближе к цели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Добрый — Злой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0.75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3.55 ± 1.13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4.55 ± 0.69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Современный — Классический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3.64 ± 1.03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4.09 ± 1.14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0.98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Молодой — Старый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1.00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4.27 ± 0.79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3.73 ± 0.90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Безопасный — Опасный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0.63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0.77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4.55 ± 0.69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Красивый — Некрасивый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4.09 ± 0.94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3.91 ± 0.83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4.27 ± 0.79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Интересный — Скучный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0.63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3.18 ± 0.87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3.55 ± 1.04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A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Полезный — Бесполезный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3.73 ± 0.79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4.27 ± 0.79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0.75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Честный — Лживый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×2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3.91 ± 0.94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4.27 ± 0.65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4.09 ± 0.70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Надёжный — Ненадёжный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×2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0.87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4.36 ± 0.67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4.09 ± 0.83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Простой — Сложный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0.77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3.64 ± 1.03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0.75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A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Понятный — Запутанный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5.0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3.64 ± 0.92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1.10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4.27 ± 0.47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Спокойный — Раздражающий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3.91 ± 0.70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4.00 ± 0.63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4.82 ± 0.40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Профессиональный — Любительский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3.55 ± 0.82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4.36 ± 0.81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1.17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Дорогой — Дешёвый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3.73 ± 0.90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3.27 ± 0.65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3.82 ± 0.87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A</w:t>
            </w:r>
          </w:p>
        </w:tc>
      </w:tr>
      <w:tr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Технологичный — Устаревший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4.0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3.36 ± 0.92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4.36 ± 0.67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3.36 ± 0.92</w:t>
            </w:r>
          </w:p>
        </w:tc>
        <w:tc>
          <w:tcPr>
            <w:tcW w:type="dxa" w:w="1336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Формат ячейки — среднее ± стандартное отклонение.</w:t>
      </w:r>
    </w:p>
    <w:p>
      <w:pPr>
        <w:spacing w:after="0"/>
      </w:pPr>
      <w:r>
        <w:rPr>
          <w:b/>
          <w:i w:val="0"/>
          <w:sz w:val="28"/>
        </w:rPr>
        <w:t>Таблица 6 — Отклонение от целевого профиля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Вариант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Сумма отклонений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Взвешенная сумма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Место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Вариант C «Тёплый локальный»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7.95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9.77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Вариант B «Технологичный»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9.41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10.77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Вариант A «Доверие»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10.77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13.05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</w:tr>
    </w:tbl>
    <w:p/>
    <w:p>
      <w:pPr>
        <w:spacing w:after="0"/>
        <w:ind w:firstLine="709"/>
        <w:jc w:val="both"/>
      </w:pPr>
      <w:r>
        <w:rPr>
          <w:b/>
          <w:i w:val="0"/>
          <w:sz w:val="28"/>
        </w:rPr>
        <w:t>Выбран вариант Вариант C «Тёплый локальный»</w:t>
      </w:r>
      <w:r>
        <w:rPr>
          <w:b w:val="0"/>
          <w:i w:val="0"/>
          <w:sz w:val="28"/>
        </w:rPr>
        <w:t xml:space="preserve"> — наименьшее взвешенное отклонение (9.77). Отрыв от второго места составляет 1.00, то есть варианты C и B по совокупности шкал близки, и вывод опирается также на расхождения по отдельным парам и на контрольный вопрос.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8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5 — Диаграмма-профиль трёх вариантов. Пунктир — целевой профиль, заданный до проведения теста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На диаграмме видно, что линия варианта C на большинстве шкал проходит ближе к пунктирной линии цели. Наибольшие расхождения у всех вариантов приходятся на верхнюю часть диаграммы — пары «Полезный», «Честный», «Надёжный»: ни один вариант не достиг целевого значения 5,0. Это закономерно: доверие к площадке формируется содержанием, а не цветом, и цветовое решение может лишь не мешать ему.</w:t>
      </w:r>
    </w:p>
    <w:p>
      <w:pPr>
        <w:spacing w:after="120"/>
      </w:pPr>
      <w:r>
        <w:rPr>
          <w:b/>
          <w:sz w:val="28"/>
        </w:rPr>
        <w:t>Содержательный разбор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Вариант C выигрывает по шкалам «Спокойный» (4.82 — лучшая оценка в таблице при наименьшем разбросе 0.40), «Добрый» (4.55) и «Безопасный» (4.55). Это соответствует условиям использования из ЛР № 1: 58,7 % респондентов заходят в приложение вечером, когда визуальная агрессия воспринимается особенно остро.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Вариант C уступает по шкалам «Технологичный» (3.36 при цели 4,0) и «Профессиональный» (3.82 при цели 4,5) — по ним лидирует вариант B. Таким образом, бизнес-задача ЛР № 1 п. 13.4 о технологичном образе площадки решается выбранным вариантом не полностью; компенсировать это следует средствами типографики и компоновки, а не цветом.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Исходный вариант A, предложенный в ЛР № 2, занял последнее место (13.05). Он проиграл прежде всего по шкалам «Понятный» (3.64 при цели 5,0), «Полезный» (3.73) и «Надёжный» (3.82), то есть именно по тем характеристикам, которые закрывают ключевые барьеры онлайн-покупки, выявленные в ЛР № 1.</w:t>
      </w:r>
    </w:p>
    <w:p>
      <w:pPr>
        <w:spacing w:after="120"/>
      </w:pPr>
      <w:r>
        <w:rPr>
          <w:b/>
          <w:sz w:val="28"/>
        </w:rPr>
        <w:t>Контрольный вопрос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Вариант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Выбрали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Доля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Вариант A «Доверие»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18 %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Вариант B «Технологичный»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27 %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Вариант C «Тёплый локальный»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55 %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Прямой выбор подтверждает результат по шкалам: вариант C предпочли 6 респондентов из 11.</w:t>
      </w:r>
    </w:p>
    <w:p>
      <w:pPr>
        <w:spacing w:after="120"/>
      </w:pPr>
      <w:r>
        <w:rPr>
          <w:b/>
          <w:sz w:val="28"/>
        </w:rPr>
        <w:t>Различия между группами пользователей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Оценки разобраны по группам, выделенным в ЛР № 1. Это важно, поскольку группы различаются и возрастом, и опытом онлайн-покупок.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Группа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Человек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A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B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C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Лучший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«Осознанные покупательницы» 25–34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8.25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6.75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6.75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«Новички» 35 и старше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14.50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11.75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11.75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B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«Быстрые покупатели» 18–24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18.50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15.17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14.17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C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В таблице приведено взвешенное отклонение от целевого профиля внутри каждой группы: чем меньше значение, тем ближе вариант к цели. Группы разошлись в оценках, поэтому итоговый выбор опирается на выборку в целом; расхождение зафиксировано как ограничение исследования. Следует учитывать, что при разбиении на группы численность каждой составляет три-четыре человека, поэтому различия между группами носят характер наблюдения, а не статистически значимого вывода.</w:t>
      </w:r>
    </w:p>
    <w:p>
      <w:pPr>
        <w:spacing w:after="120"/>
      </w:pPr>
      <w:r>
        <w:rPr>
          <w:b/>
          <w:sz w:val="28"/>
        </w:rPr>
        <w:t>Проверка эффекта порядка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Поскольку порядок показа ротировался, проверено, не объясняется ли результат позицией предъявления.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Позиция показа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Средняя оценка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1-й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3.915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2-й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3.994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3-й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3.897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Разброс между позициями составляет 0.097 балла, то есть позиция на оценку практически не влияла. Дополнительно пересчитаны отклонения только по тем респондентам, которые видели соответствующий вариант не первым: Вариант A «Доверие» — 12.25, Вариант B «Технологичный» — 13.33, Вариант C «Тёплый локальный» — 9.25. Вариант C сохраняет первое место, следовательно результат устойчив.</w:t>
      </w:r>
      <w:r>
        <w:br w:type="page"/>
      </w:r>
    </w:p>
    <w:p>
      <w:pPr>
        <w:spacing w:after="120"/>
      </w:pPr>
      <w:r>
        <w:rPr>
          <w:b/>
          <w:sz w:val="32"/>
        </w:rPr>
        <w:t>2 Проектирование прототипа пользовательского интерфейса</w:t>
      </w:r>
    </w:p>
    <w:p>
      <w:pPr>
        <w:spacing w:after="120"/>
      </w:pPr>
      <w:r>
        <w:rPr>
          <w:b/>
          <w:sz w:val="28"/>
        </w:rPr>
        <w:t>2.1 Модульная сетка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Для адаптации выбрана страница </w:t>
      </w:r>
      <w:r>
        <w:rPr>
          <w:b/>
          <w:i w:val="0"/>
          <w:sz w:val="28"/>
        </w:rPr>
        <w:t>каталога с фильтрами</w:t>
      </w:r>
      <w:r>
        <w:rPr>
          <w:b w:val="0"/>
          <w:i w:val="0"/>
          <w:sz w:val="28"/>
        </w:rPr>
        <w:t>: её структура (боковая панель фильтров и сетка карточек) перестраивается на каждом шаге, поэтому адаптация содержательна, а не сводится к изменению ширины.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Применена двенадцатиколоночная сетка — наиболее распространённая в веб-дизайне и рекомендованная методическими указаниями: двенадцать делится на четыре, три и два, что позволяет без остатка разложить контент в любое из этих чисел колонок. На узких разрешениях число колонок сокращается до восьми и четырёх, поскольку двенадцать колонок шириной менее 40 px теряют смысл.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Ширина контейнера рассчитана по формуле из методических указаний: контейнер = колонка × N + гаттер × (N − 1). Для монтажной области 1440 px при полях 60 px контейнер равен 1320 px, что при двенадцати колонках и гаттере 24 px даёт колонку 88 px: 12 × 88 + 11 × 24 = 1056 + 264 = 1320.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Боковая панель фильтров занимает три колонки — 3 × 88 + 2 × 24 = 312 px, сетка товаров девять колонок. Фактическая ширина панели в собранном макете составляет ровно 312 px, что подтверждено измерением в браузере.</w:t>
      </w:r>
    </w:p>
    <w:p>
      <w:pPr>
        <w:spacing w:after="0"/>
      </w:pPr>
      <w:r>
        <w:rPr>
          <w:b/>
          <w:i w:val="0"/>
          <w:sz w:val="28"/>
        </w:rPr>
        <w:t>Таблица 7 — Расчёт модульной сетки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Диапазон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Артборд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Контейнер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Колонок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Гаттер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Колонка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Поля</w:t>
            </w:r>
          </w:p>
        </w:tc>
        <w:tc>
          <w:tcPr>
            <w:tcW w:type="dxa" w:w="1169"/>
          </w:tcPr>
          <w:p>
            <w:r>
              <w:rPr>
                <w:b/>
                <w:i w:val="0"/>
                <w:sz w:val="21"/>
              </w:rPr>
              <w:t>Проверка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1440+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1440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1320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88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60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12 × 88 + 11 × 24 = 1320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992–1199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1024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984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60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12 × 60 + 11 × 24 = 984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768–991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768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720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69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 × 69 + 7 × 24 = 720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576–767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552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55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 × 55 + 7 × 16 = 552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400–575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414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stretch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83.5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резиновая сетка</w:t>
            </w:r>
          </w:p>
        </w:tc>
      </w:tr>
      <w:tr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320–399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360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stretch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70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1169"/>
          </w:tcPr>
          <w:p>
            <w:r>
              <w:rPr>
                <w:b w:val="0"/>
                <w:i w:val="0"/>
                <w:sz w:val="21"/>
              </w:rPr>
              <w:t>резиновая сетка</w:t>
            </w:r>
          </w:p>
        </w:tc>
      </w:tr>
    </w:tbl>
    <w:p/>
    <w:p>
      <w:pPr>
        <w:spacing w:after="120"/>
      </w:pPr>
      <w:r>
        <w:rPr>
          <w:b/>
          <w:sz w:val="28"/>
        </w:rPr>
        <w:t>2.2 Адаптивные макеты веб-страницы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Макеты разработаны для шести разрешений, требуемых методическими указаниями. Реализованы </w:t>
      </w:r>
      <w:r>
        <w:rPr>
          <w:b/>
          <w:i w:val="0"/>
          <w:sz w:val="28"/>
        </w:rPr>
        <w:t>единой разметкой с медиазапросами</w:t>
      </w:r>
      <w:r>
        <w:rPr>
          <w:b w:val="0"/>
          <w:i w:val="0"/>
          <w:sz w:val="28"/>
        </w:rPr>
        <w:t>, а не шестью отдельными изображениями: переходы между состояниями можно наблюдать, изменяя ширину окна браузера.</w:t>
      </w:r>
    </w:p>
    <w:p>
      <w:pPr>
        <w:spacing w:after="0"/>
      </w:pPr>
      <w:r>
        <w:rPr>
          <w:b/>
          <w:i w:val="0"/>
          <w:sz w:val="28"/>
        </w:rPr>
        <w:t>Таблица 8 — Изменения компоновки по брейкпоинтам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Диапазон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Артборд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Изменения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1440+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1440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Сайдбар фильтров 3 колонки слева, сетка 4 карточки в ряд. Поиск развёрнут в шапке, вся глобальная навигация видна.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992–1199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1024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Сайдбар сохраняется, сетка сокращается до 3 карточек. Названия категорий в шапке без изменений.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768–991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768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Сайдбар сворачивается в кнопку «Фильтры» и выдвижную панель. Сетка 3 карточки. Поиск сжимается, утилиты шапки — только иконки.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576–767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Сетка 2 карточки. Сортировка переезжает в нижнюю всплывающую панель. Хлебные крошки сокращаются до последнего уровня.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400–575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414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Категории — горизонтальная лента с прокруткой. Внизу закрепляется панель «Фильтры · Сортировка». Поиск — по иконке.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320–399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360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Сетка 2 карточки с уплотнённой типографикой: название в две строки, цена и рейтинг в одну. Отступы 16 px, кнопка «В корзину» на всю ширину.</w:t>
            </w:r>
          </w:p>
        </w:tc>
      </w:tr>
    </w:tbl>
    <w:p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787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-wid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6 — Каталог на широких разрешениях: сайдбар фильтров сохраняется, меняется плотность сетки товаров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78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-narro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7 — Каталог на узких разрешениях: фильтры убираются в выдвижную панель, появляется закреплённая строка управления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Логика перестроения.</w:t>
      </w:r>
      <w:r>
        <w:rPr>
          <w:b w:val="0"/>
          <w:i w:val="0"/>
          <w:sz w:val="28"/>
        </w:rPr>
        <w:t xml:space="preserve"> Адаптация построена на последовательном вытеснении второстепенного: сначала сокращается плотность сетки, затем убирается боковая панель, затем сжимаются элементы шапки, и лишь в последнюю очередь упрощается содержимое карточки. Ключевое действие — кнопка «В корзину» — сохраняется на всех разрешениях.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На разрешении 768 px боковая панель фильтров заменяется кнопкой с указанием числа применённых фильтров: панель занимает слишком много места, но скрывать сам факт фильтрации нельзя, иначе пользователь не поймёт, почему видит неполный каталог. Начиная с 575 px управление сортировкой и фильтрами переносится в закреплённую внизу строку — в зону, достижимую большим пальцем. На 360 px из карточки убирается краткое описание: при ширине карточки 158 px оно занимало бы четыре строки и вытесняло цену за пределы экрана.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Каждое состояние проверено в браузере измерением фактических значений: ширина контейнера, число колонок сетки, ширина карточки, видимость боковой панели, наличие горизонтальной прокрутки.</w:t>
      </w:r>
    </w:p>
    <w:p>
      <w:pPr>
        <w:spacing w:after="0"/>
      </w:pPr>
      <w:r>
        <w:rPr>
          <w:b/>
          <w:i w:val="0"/>
          <w:sz w:val="28"/>
        </w:rPr>
        <w:t>Таблица 9 —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Ширина окна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Карточек в ряд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Ширина карточки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Сайдбар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Кнопка «Фильтры»</w:t>
            </w:r>
          </w:p>
        </w:tc>
        <w:tc>
          <w:tcPr>
            <w:tcW w:type="dxa" w:w="1559"/>
          </w:tcPr>
          <w:p>
            <w:r>
              <w:rPr>
                <w:b/>
                <w:i w:val="0"/>
                <w:sz w:val="21"/>
              </w:rPr>
              <w:t>Горизонтальная прокрутка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1440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224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есть, 312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1024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223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есть, 228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768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219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скрыт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есть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268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скрыт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есть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414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183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скрыт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закреплена внизу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360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158 px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скрыт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закреплена внизу</w:t>
            </w:r>
          </w:p>
        </w:tc>
        <w:tc>
          <w:tcPr>
            <w:tcW w:type="dxa" w:w="1559"/>
          </w:tcPr>
          <w:p>
            <w:r>
              <w:rPr>
                <w:b w:val="0"/>
                <w:i w:val="0"/>
                <w:sz w:val="21"/>
              </w:rPr>
              <w:t>нет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При проверке выявлены и устранены два нарушения собственного руководства по стилям: кнопка «В корзину» на узких экранах имела высоту 38 px, а нижняя панель навигации — 43 px при требовании ЛР № 1 п. 2.3 не менее 44 pt для iOS и 48 dp для Android.</w:t>
      </w:r>
    </w:p>
    <w:p>
      <w:pPr>
        <w:spacing w:after="120"/>
      </w:pPr>
      <w:r>
        <w:rPr>
          <w:b/>
          <w:sz w:val="28"/>
        </w:rPr>
        <w:t>2.3 Макеты экрана мобильного приложения для пяти устройств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В соответствии с методическими указаниями выбрано пять устройств, включая планшеты. Проектируемый экран — </w:t>
      </w:r>
      <w:r>
        <w:rPr>
          <w:b/>
          <w:i w:val="0"/>
          <w:sz w:val="28"/>
        </w:rPr>
        <w:t>главная после авторизации</w:t>
      </w:r>
      <w:r>
        <w:rPr>
          <w:b w:val="0"/>
          <w:i w:val="0"/>
          <w:sz w:val="28"/>
        </w:rPr>
        <w:t xml:space="preserve"> с лентой «Специально для вас».</w:t>
      </w:r>
    </w:p>
    <w:p>
      <w:pPr>
        <w:spacing w:after="0"/>
      </w:pPr>
      <w:r>
        <w:rPr>
          <w:b/>
          <w:i w:val="0"/>
          <w:sz w:val="28"/>
        </w:rPr>
        <w:t>Таблица 9 — Устройства и компоновка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Устройство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Размер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Платформа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Колонок карточек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Особенности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iPhone SE (3rd)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375 × 667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iOS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минимальный кейс; проверка AC-02.1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iPhone 15 Pro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393 × 852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iOS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safe area, Dynamic Island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Pixel 7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412 × 915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Android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Material, системная кнопка «Назад»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iPad mini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744 × 1133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iPadOS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 колонки карточек, side rail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iPad Pro 11"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834 × 1194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iPadOS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master-detail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Планшеты включены в набор, несмотря на то что основным устройством их назвали лишь 2,2 % респондентов опроса ЛР № 1: планшетные компоновки необходимы кабинету продавца и панели модератора, где обрабатывается от 100 до 200 карточек в день. Таким образом планшет проектируется как рабочая, а не покупательская среда.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09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8 — Главная после авторизации на пяти устройствах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Сетка карточек изменяется с двух колонок на смартфонах до трёх на iPad mini и четырёх на iPad Pro. Нижняя панель навигации во всех размерах сохраняет пять пунктов — Главная, Поиск, Избранное, Корзина, Профиль, — как зафиксировано в системе навигации ЛР № 2, п. 2.3; вход в каталог осуществляется с главной и из результатов поиска, чтобы не выходить за предел пяти иконок.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Размер интерактивных элементов проверен отдельно. В первой редакции макетов кнопка «В корзину» имела высоту 38 px, а пункт нижней панели — 43 px, что нарушало требование ЛР № 1, п. 2.3 о крупных тач-зонах и рекомендации платформ: не менее 44 pt для iOS и 48 dp для Android. Значения исправлены до 48 px.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Поддержана тёмная тема: 58,7 % респондентов опроса ЛР № 1 пользуются приложением вечером с 19:00 до 23:00.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57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9 — Тёмная тема: каталог и главная</w:t>
      </w:r>
    </w:p>
    <w:p>
      <w:pPr>
        <w:spacing w:after="120"/>
      </w:pPr>
      <w:r>
        <w:rPr>
          <w:b/>
          <w:sz w:val="28"/>
        </w:rPr>
        <w:t>2.4 Интерактивный прототип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Разработаны два прототипа — для мобильного и для веб-приложения. Оба реализованы как связанные наборы экранов, открывающиеся в браузере. Переходы между экранами действующие, а не имитированные изображениями. Сценарий в обоих прототипах один: авторизация, выбор товара, подбор размера, добавление в корзину и оформление заказа.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Платформенные различия реализованы по таблице платформенных особенностей ЛР № 3. В мобильном прототипе вход в покупку идёт из персональной ленты, «Ассистент по размеру» открывается нижней всплывающей панелью, а получатель и адрес берутся из профиля. В веб-прототипе вход в покупку идёт из каталога с фильтрами, ассистент открывается модальным окном с переходом между полями по Tab, а оформление заказа собрано на одной странице: получение, оплата и итоговая сводка видны одновременно. В обоих случаях ассистент — временный интерфейс в смысле классификации ЛР № 2, п. 1.3.</w:t>
      </w:r>
    </w:p>
    <w:p>
      <w:pPr>
        <w:spacing w:after="0"/>
      </w:pPr>
      <w:r>
        <w:rPr>
          <w:b/>
          <w:i w:val="0"/>
          <w:sz w:val="28"/>
        </w:rPr>
        <w:t>Таблица 10 — Экраны прототипа и сценарий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№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Мобильное приложение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Веб-приложение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Действие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Вариант использования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Вход: пароль либо отпечаток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Вход: почта и пароль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авторизация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UC-20, UC-21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Лента «Специально для вас»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Каталог с фильтрами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выбор товара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UC-01, UC-02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Карточка товара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Карточка товара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чтение описания из четырёх подблоков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UC-03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Ассистент — нижняя панель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Ассистент — модальное окно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ввод роста и обхвата, получение рекомендации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UC-04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Корзина: оплата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Оформление заказа: получение и оплата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«В корзину», «Оформить заказ»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UC-05, UC-06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Заказ оформлен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Заказ оформлен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номер заказа, пункт выдачи, условия возврата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UC-23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Соответствие прототипа требованиям предыдущих работ проверено автоматически по тринадцати пунктам: описание размещено выше кнопки «В корзину» (AC-02.1), присутствуют все четыре подблока описания (AC-02.2), отсутствуют термины автоматической генерации (AC-02.6, ОГР-2), параметры размера вводятся непосредственно в ассистенте без перехода в профиль (US-04), срок возврата виден до оформления заказа (US-12), пункт самовывоза предложен по умолчанию, а способы оплаты упорядочены по данным опроса ЛР № 1 — банковская карта первой, ЕРИП третьим. Размер интерактивных элементов во всех экранах не менее 48 px.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37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10 — Экраны интерактивного прототипа мобильного приложения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68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we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6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sz w:val="28"/>
        </w:rPr>
        <w:t>Рисунок 11 — Экраны интерактивного прототипа веб-приложения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Проверка соответствия.</w:t>
      </w:r>
      <w:r>
        <w:rPr>
          <w:b w:val="0"/>
          <w:i w:val="0"/>
          <w:sz w:val="28"/>
        </w:rPr>
        <w:t xml:space="preserve"> Оба прототипа проверены по тринадцати требованиям предыдущих работ автоматической проверкой разметки.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Требование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Как реализовано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Описание выше кнопки «В корзину»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AC-02.1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блок описания предшествует кнопке в потоке документа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Четыре подблока описания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AC-02.2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состав, посадка, уход, размерная сетка бренда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Незаполненный подблок не остаётся пустым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AC-02.2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выводится строка «Продавец не указал»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Нет терминов генерации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AC-02.6, ОГР-2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 покупательском контуре отсутствуют NLP, LLM, «ИИ-описание»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Ассистент по размеру — временный интерфейс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2, п. 1.3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открывается панелью поверх карточки, не отдельным экраном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Ввод параметров без ухода в профиль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US-04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поля роста и обхвата внутри панели ассистента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Условия возврата до оформления заказа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US-12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срок возврата показан в итоговой сводке корзины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Пункт самовывоза по умолчанию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опрос ЛР № 1, 78,3 %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выбран заранее, доставка бесплатна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Порядок способов оплаты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опрос ЛР № 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карта онлайн первой (69,6 %), ЕРИП третьим (0 выборов из 46)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Биометрический вход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1, п. 2.3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кнопка входа по отпечатку на экране авторизации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Формат номера заказа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MS-2026-000154 по шаблону из физической модели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Нижняя панель навигации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2, п. 2.3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Главная, Поиск, Избранное, Корзина, Профиль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Размер тач-зон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ЛР № 1, п. 2.3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не менее 48 px на всех экранах</w:t>
            </w:r>
          </w:p>
        </w:tc>
      </w:tr>
    </w:tbl>
    <w:p/>
    <w:p>
      <w:pPr>
        <w:spacing w:after="0"/>
      </w:pPr>
      <w:r>
        <w:rPr>
          <w:b/>
          <w:i w:val="0"/>
          <w:sz w:val="28"/>
        </w:rPr>
        <w:t>Таблица 11 — Ссылки на прототип и макеты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Что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Адрес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Интерактивный прототип мобильного приложения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https://fpmi-hci-2026.github.io/hci-10-project-group-1/lab5/mockups/prototype-login.html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Интерактивный прототип веб-приложения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https://fpmi-hci-2026.github.io/hci-10-project-group-1/lab5/mockups/web-login.html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Адаптивные макеты каталога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https://fpmi-hci-2026.github.io/hci-10-project-group-1/lab5/mockups/responsive-catalog.html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Экраны на пяти устройствах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https://fpmi-hci-2026.github.io/hci-10-project-group-1/lab5/mockups/devices.html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Макеты в Figma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https://www.figma.com/design/DIsarmkx75gQIm7ncRLsAZ/МаркетШоп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32"/>
        </w:rPr>
        <w:t>3 Руководства по стилям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Разработаны два руководства — для веб- и для мобильного приложения. Оба собираются автоматически из </w:t>
      </w:r>
      <w:r>
        <w:rPr>
          <w:rFonts w:ascii="Courier New" w:hAnsi="Courier New"/>
          <w:sz w:val="22"/>
        </w:rPr>
        <w:t>design/tokens.json</w:t>
      </w:r>
      <w:r>
        <w:rPr>
          <w:b w:val="0"/>
          <w:i w:val="0"/>
          <w:sz w:val="28"/>
        </w:rPr>
        <w:t>, поэтому значения цветов и размеров в руководстве, в макетах и в переменных Figma совпадают по построению.</w:t>
      </w:r>
    </w:p>
    <w:p>
      <w:pPr>
        <w:spacing w:after="0"/>
      </w:pPr>
      <w:r>
        <w:rPr>
          <w:b/>
          <w:i w:val="0"/>
          <w:sz w:val="28"/>
        </w:rPr>
        <w:t>Таблица 12 — Состав руководств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Раздел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Логотип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построение, охранное поле, минимальный размер, запреты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Цвет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31 токенов в светлой и тёмной темах, отчёт о контрасте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Статусы описания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 xml:space="preserve">6 бейджей по числу значений перечисления </w:t>
            </w:r>
            <w:r>
              <w:rPr>
                <w:rFonts w:ascii="Courier New" w:hAnsi="Courier New"/>
                <w:sz w:val="15"/>
              </w:rPr>
              <w:t>description.status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Уверенность генератора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3 дискретных уровня, скрытые от покупателя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Типографика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9 ступеней шкалы, Inter и Manrope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Сетка и отступы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6 брейкпоинтов, шаг 8 pt, шкала радиусов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Компоненты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21 компонент с вариантами и состояниями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Обработка ошибок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9 кодов ответа API, формат RFC 9457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Тон голоса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готовая микрокопия, запрещённые формулировки и термины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Видимость по контурам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что показывается покупателю, продавцу, модератору, администратору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Фотографии товара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соотношение, фон, обязательные кадры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Движение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три длительности, поведение при «уменьшить движение»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Доступность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контраст, размеры текста, фокус, тач-зоны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Платформенные различия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iOS и Android: гарнитуры, навигация, жесты (только мобильное)</w:t>
            </w:r>
          </w:p>
        </w:tc>
      </w:tr>
    </w:tbl>
    <w:p/>
    <w:p>
      <w:pPr>
        <w:spacing w:after="120"/>
      </w:pPr>
      <w:r>
        <w:rPr>
          <w:b/>
          <w:sz w:val="28"/>
        </w:rPr>
        <w:t>Типографика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Гарнитура основного текста — </w:t>
      </w:r>
      <w:r>
        <w:rPr>
          <w:b/>
          <w:i w:val="0"/>
          <w:sz w:val="28"/>
        </w:rPr>
        <w:t>Inter</w:t>
      </w:r>
      <w:r>
        <w:rPr>
          <w:b w:val="0"/>
          <w:i w:val="0"/>
          <w:sz w:val="28"/>
        </w:rPr>
        <w:t xml:space="preserve">, логотипа — </w:t>
      </w:r>
      <w:r>
        <w:rPr>
          <w:b/>
          <w:i w:val="0"/>
          <w:sz w:val="28"/>
        </w:rPr>
        <w:t>Manrope ExtraBold</w:t>
      </w:r>
      <w:r>
        <w:rPr>
          <w:b w:val="0"/>
          <w:i w:val="0"/>
          <w:sz w:val="28"/>
        </w:rPr>
        <w:t>. Inter выбран за крупные строчные знаки: в карточке товара много мелкого текста — состав ткани, правила ухода, размерная сетка, — и на 13–14 px разборчивость критична. Дополнительное основание — персонаж Ольга Петровна из ЛР № 1, 48 лет, предпочитающая крупный шрифт; минимальный размер основного текста установлен в 16 px.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Ступень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Размер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Интерлиньяж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Начертание</w:t>
            </w:r>
          </w:p>
        </w:tc>
        <w:tc>
          <w:tcPr>
            <w:tcW w:type="dxa" w:w="1871"/>
          </w:tcPr>
          <w:p>
            <w:r>
              <w:rPr>
                <w:b/>
                <w:i w:val="0"/>
                <w:sz w:val="21"/>
              </w:rPr>
              <w:t>Применение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h1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40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48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700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заголовок страницы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h2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30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38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700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заголовок раздела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h3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24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32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заголовок блока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h4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19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26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подзаголовок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body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16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24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основной текст, минимум для чтения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body-sm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14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20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описание в карточке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caption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13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18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400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подписи, метаданные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label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13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16 px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600</w:t>
            </w:r>
          </w:p>
        </w:tc>
        <w:tc>
          <w:tcPr>
            <w:tcW w:type="dxa" w:w="1871"/>
          </w:tcPr>
          <w:p>
            <w:r>
              <w:rPr>
                <w:b w:val="0"/>
                <w:i w:val="0"/>
                <w:sz w:val="21"/>
              </w:rPr>
              <w:t>метки полей, прописные</w:t>
            </w:r>
          </w:p>
        </w:tc>
      </w:tr>
    </w:tbl>
    <w:p/>
    <w:p>
      <w:pPr>
        <w:spacing w:after="120"/>
      </w:pPr>
      <w:r>
        <w:rPr>
          <w:b/>
          <w:sz w:val="28"/>
        </w:rPr>
        <w:t>Статусы описания товара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Перечень состояний не придуман, а выведен из физической модели ЛР № 4: поле </w:t>
      </w:r>
      <w:r>
        <w:rPr>
          <w:rFonts w:ascii="Courier New" w:hAnsi="Courier New"/>
          <w:sz w:val="22"/>
        </w:rPr>
        <w:t>description.status</w:t>
      </w:r>
      <w:r>
        <w:rPr>
          <w:b w:val="0"/>
          <w:i w:val="0"/>
          <w:sz w:val="28"/>
        </w:rPr>
        <w:t xml:space="preserve"> объявлено перечислением ровно из шести значений. Следовательно, бейджей в интерфейсе тоже ровно шесть — седьмого состояния система иметь не может.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Подпись в интерфейсе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Цвет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В каком контуре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incomplete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Не хватает атрибутов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warning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draft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Черновик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text-muted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pending_moderation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На модерации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info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продавец, модератор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blocked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Заблокировано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error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продавец, модератор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returned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Возвращено на правку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on-accent-soft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</w:t>
            </w:r>
          </w:p>
        </w:tc>
      </w:tr>
      <w:tr>
        <w:tc>
          <w:tcPr>
            <w:tcW w:type="dxa" w:w="2339"/>
          </w:tcPr>
          <w:p>
            <w:r>
              <w:rPr>
                <w:rFonts w:ascii="Courier New" w:hAnsi="Courier New"/>
                <w:sz w:val="15"/>
              </w:rPr>
              <w:t>published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Опубликовано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success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продавец, модератор, администратор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Аналогично уровень уверенности генератора </w:t>
      </w:r>
      <w:r>
        <w:rPr>
          <w:rFonts w:ascii="Courier New" w:hAnsi="Courier New"/>
          <w:sz w:val="22"/>
        </w:rPr>
        <w:t>description.confidence</w:t>
      </w:r>
      <w:r>
        <w:rPr>
          <w:b w:val="0"/>
          <w:i w:val="0"/>
          <w:sz w:val="28"/>
        </w:rPr>
        <w:t xml:space="preserve"> — три дискретных значения, а не процентная шкала; в очереди модерации они задают порядок проверки, а покупателю не показываются вовсе.</w:t>
      </w:r>
    </w:p>
    <w:p>
      <w:pPr>
        <w:spacing w:after="120"/>
      </w:pPr>
      <w:r>
        <w:rPr>
          <w:b/>
          <w:sz w:val="28"/>
        </w:rPr>
        <w:t>Состояния ошибки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Перечень состояний ошибки получен из таблицы кодов ответа API ЛР № 4. Такой подход гарантирует полноту: интерфейс спроектирован под все состояния, в которых система действительно может оказаться.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Код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Операций в API</w:t>
            </w:r>
          </w:p>
        </w:tc>
        <w:tc>
          <w:tcPr>
            <w:tcW w:type="dxa" w:w="3118"/>
          </w:tcPr>
          <w:p>
            <w:r>
              <w:rPr>
                <w:b/>
                <w:i w:val="0"/>
                <w:sz w:val="21"/>
              </w:rPr>
              <w:t>Способ показа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47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модальное окно входа; после авторизации возврат к прерванному действию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экран «Не найдено». Чужой ресурс отдаёт 404, а не 403 — интерфейс не должен подтверждать существование объекта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400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подсветка поля формы и подпись под ним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баннер с текстом из поля detail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баннер в теле страницы: пользователь не может это исправить, модальное окно было бы навязчивым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422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подсветка полей из массива missing и общий баннер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429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уведомление с обратным отсчётом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413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ошибка у поля загрузки: партия не более 20 позиций, файл не более 10 МБ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503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21"/>
              </w:rPr>
              <w:t>отдельное состояние кнопки «Сгенерировать описание»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Два раздела заслуживают отдельного пояснения, поскольку выведены из моделей ЛР № 4, а не из общих рекомендаций по оформлению.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Состояния по кодам ответа.</w:t>
      </w:r>
      <w:r>
        <w:rPr>
          <w:b w:val="0"/>
          <w:i w:val="0"/>
          <w:sz w:val="28"/>
        </w:rPr>
        <w:t xml:space="preserve"> Перечень состояний интерфейса получен из таблицы кодов ответа API: девять кодов, для каждого определён способ показа. Код 401 встречается в 47 операциях из 55, то есть является самым частым состоянием системы и проектируется первым. Ответы передаются в формате </w:t>
      </w:r>
      <w:r>
        <w:rPr>
          <w:rFonts w:ascii="Courier New" w:hAnsi="Courier New"/>
          <w:sz w:val="22"/>
        </w:rPr>
        <w:t>application/problem+json</w:t>
      </w:r>
      <w:r>
        <w:rPr>
          <w:b w:val="0"/>
          <w:i w:val="0"/>
          <w:sz w:val="28"/>
        </w:rPr>
        <w:t xml:space="preserve">, поэтому заданы правила отображения: поле </w:t>
      </w:r>
      <w:r>
        <w:rPr>
          <w:rFonts w:ascii="Courier New" w:hAnsi="Courier New"/>
          <w:sz w:val="22"/>
        </w:rPr>
        <w:t>title</w:t>
      </w:r>
      <w:r>
        <w:rPr>
          <w:b w:val="0"/>
          <w:i w:val="0"/>
          <w:sz w:val="28"/>
        </w:rPr>
        <w:t xml:space="preserve"> выводится заголовком, </w:t>
      </w:r>
      <w:r>
        <w:rPr>
          <w:rFonts w:ascii="Courier New" w:hAnsi="Courier New"/>
          <w:sz w:val="22"/>
        </w:rPr>
        <w:t>detail</w:t>
      </w:r>
      <w:r>
        <w:rPr>
          <w:b w:val="0"/>
          <w:i w:val="0"/>
          <w:sz w:val="28"/>
        </w:rPr>
        <w:t xml:space="preserve"> — подписью, массив </w:t>
      </w:r>
      <w:r>
        <w:rPr>
          <w:rFonts w:ascii="Courier New" w:hAnsi="Courier New"/>
          <w:sz w:val="22"/>
        </w:rPr>
        <w:t>missing</w:t>
      </w:r>
      <w:r>
        <w:rPr>
          <w:b w:val="0"/>
          <w:i w:val="0"/>
          <w:sz w:val="28"/>
        </w:rPr>
        <w:t xml:space="preserve"> подсвечивает конкретные поля формы.</w:t>
      </w:r>
    </w:p>
    <w:p>
      <w:pPr>
        <w:spacing w:after="0"/>
        <w:ind w:firstLine="709"/>
        <w:jc w:val="both"/>
      </w:pPr>
      <w:r>
        <w:rPr>
          <w:b/>
          <w:i w:val="0"/>
          <w:sz w:val="28"/>
        </w:rPr>
        <w:t>Видимость элементов по контурам.</w:t>
      </w:r>
      <w:r>
        <w:rPr>
          <w:b w:val="0"/>
          <w:i w:val="0"/>
          <w:sz w:val="28"/>
        </w:rPr>
        <w:t xml:space="preserve"> Ограничение ОГР-2 запрещает показывать покупателю признаки автоматической генерации. В ЛР № 4 оно проведено на уровне схем: в покупательском контуре API полей </w:t>
      </w:r>
      <w:r>
        <w:rPr>
          <w:rFonts w:ascii="Courier New" w:hAnsi="Courier New"/>
          <w:sz w:val="22"/>
        </w:rPr>
        <w:t>confidence</w:t>
      </w:r>
      <w:r>
        <w:rPr>
          <w:b w:val="0"/>
          <w:i w:val="0"/>
          <w:sz w:val="28"/>
        </w:rPr>
        <w:t xml:space="preserve"> и </w:t>
      </w:r>
      <w:r>
        <w:rPr>
          <w:rFonts w:ascii="Courier New" w:hAnsi="Courier New"/>
          <w:sz w:val="22"/>
        </w:rPr>
        <w:t>claims</w:t>
      </w:r>
      <w:r>
        <w:rPr>
          <w:b w:val="0"/>
          <w:i w:val="0"/>
          <w:sz w:val="28"/>
        </w:rPr>
        <w:t xml:space="preserve"> нет вовсе. Руководство фиксирует это таблицей соответствия, чтобы ограничение не было нарушено при разработке.</w:t>
      </w:r>
    </w:p>
    <w:p>
      <w:pPr>
        <w:spacing w:after="120"/>
      </w:pPr>
      <w:r>
        <w:rPr>
          <w:b/>
          <w:sz w:val="28"/>
        </w:rPr>
        <w:t>3.1 Трассируемость в код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Имена токенов (</w:t>
      </w:r>
      <w:r>
        <w:rPr>
          <w:rFonts w:ascii="Courier New" w:hAnsi="Courier New"/>
          <w:sz w:val="22"/>
        </w:rPr>
        <w:t>brand</w:t>
      </w:r>
      <w:r>
        <w:rPr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accent</w:t>
      </w:r>
      <w:r>
        <w:rPr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on-accent</w:t>
      </w:r>
      <w:r>
        <w:rPr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surface</w:t>
      </w:r>
      <w:r>
        <w:rPr>
          <w:b w:val="0"/>
          <w:i w:val="0"/>
          <w:sz w:val="28"/>
        </w:rPr>
        <w:t xml:space="preserve">, </w:t>
      </w:r>
      <w:r>
        <w:rPr>
          <w:rFonts w:ascii="Courier New" w:hAnsi="Courier New"/>
          <w:sz w:val="22"/>
        </w:rPr>
        <w:t>text-muted</w:t>
      </w:r>
      <w:r>
        <w:rPr>
          <w:b w:val="0"/>
          <w:i w:val="0"/>
          <w:sz w:val="28"/>
        </w:rPr>
        <w:t xml:space="preserve"> и прочие) одинаковы в </w:t>
      </w:r>
      <w:r>
        <w:rPr>
          <w:rFonts w:ascii="Courier New" w:hAnsi="Courier New"/>
          <w:sz w:val="22"/>
        </w:rPr>
        <w:t>design/tokens.json</w:t>
      </w:r>
      <w:r>
        <w:rPr>
          <w:b w:val="0"/>
          <w:i w:val="0"/>
          <w:sz w:val="28"/>
        </w:rPr>
        <w:t>, в CSS-переменных макетов и в коллекциях переменных Figma. Соответствие дизайна и реализации не требует перевода: разработчик фронтенда использует то же имя, что указано в руководстве.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 xml:space="preserve">Выбранная по результатам теста палитра — </w:t>
      </w:r>
      <w:r>
        <w:rPr>
          <w:b/>
          <w:i w:val="0"/>
          <w:sz w:val="28"/>
        </w:rPr>
        <w:t>Вариант C «Тёплый локальный»</w:t>
      </w:r>
      <w:r>
        <w:rPr>
          <w:b w:val="0"/>
          <w:i w:val="0"/>
          <w:sz w:val="28"/>
        </w:rPr>
        <w:t xml:space="preserve">: шапка и глобальная навигация </w:t>
      </w:r>
      <w:r>
        <w:rPr>
          <w:rFonts w:ascii="Courier New" w:hAnsi="Courier New"/>
          <w:sz w:val="22"/>
        </w:rPr>
        <w:t>#3E3228</w:t>
      </w:r>
      <w:r>
        <w:rPr>
          <w:b w:val="0"/>
          <w:i w:val="0"/>
          <w:sz w:val="28"/>
        </w:rPr>
        <w:t xml:space="preserve">, кнопка ключевого действия </w:t>
      </w:r>
      <w:r>
        <w:rPr>
          <w:rFonts w:ascii="Courier New" w:hAnsi="Courier New"/>
          <w:sz w:val="22"/>
        </w:rPr>
        <w:t>#A8462A</w:t>
      </w:r>
      <w:r>
        <w:rPr>
          <w:b w:val="0"/>
          <w:i w:val="0"/>
          <w:sz w:val="28"/>
        </w:rPr>
        <w:t xml:space="preserve">, фон </w:t>
      </w:r>
      <w:r>
        <w:rPr>
          <w:rFonts w:ascii="Courier New" w:hAnsi="Courier New"/>
          <w:sz w:val="22"/>
        </w:rPr>
        <w:t>#FAF6EF</w:t>
      </w:r>
      <w:r>
        <w:rPr>
          <w:b w:val="0"/>
          <w:i w:val="0"/>
          <w:sz w:val="28"/>
        </w:rPr>
        <w:t xml:space="preserve">, декоративный оттенок </w:t>
      </w:r>
      <w:r>
        <w:rPr>
          <w:rFonts w:ascii="Courier New" w:hAnsi="Courier New"/>
          <w:sz w:val="22"/>
        </w:rPr>
        <w:t>#7A8450</w:t>
      </w:r>
      <w:r>
        <w:rPr>
          <w:b w:val="0"/>
          <w:i w:val="0"/>
          <w:sz w:val="28"/>
        </w:rPr>
        <w:t>.</w:t>
      </w:r>
      <w:r>
        <w:br w:type="page"/>
      </w:r>
    </w:p>
    <w:p>
      <w:pPr>
        <w:spacing w:after="120"/>
      </w:pPr>
      <w:r>
        <w:rPr>
          <w:b/>
          <w:sz w:val="32"/>
        </w:rPr>
        <w:t>4 Планирование этапа концептуального проектирования</w:t>
      </w:r>
    </w:p>
    <w:p>
      <w:pPr>
        <w:spacing w:after="0"/>
      </w:pPr>
      <w:r>
        <w:rPr>
          <w:b/>
          <w:i w:val="0"/>
          <w:sz w:val="28"/>
        </w:rPr>
        <w:t>Таблица 13 — План этапа и фактическое исполнение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Шаг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Результат</w:t>
            </w:r>
          </w:p>
        </w:tc>
        <w:tc>
          <w:tcPr>
            <w:tcW w:type="dxa" w:w="2339"/>
          </w:tcPr>
          <w:p>
            <w:r>
              <w:rPr>
                <w:b/>
                <w:i w:val="0"/>
                <w:sz w:val="21"/>
              </w:rPr>
              <w:t>Исполнитель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Анализ шаблонов и методик тестирования визуального дизайна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таблица решений, выбор метода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Шепко В.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Разработка пар прилагательных и целевого профиля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15 пар, обоснование по ЛР № 1 — ЛР № 4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Харченко А.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Подготовка цветовых схем и проверка контраста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3 палитры, 126 проверенных пар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Харченко А.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Сборка макетов для исследования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6 макетов из одной разметки, фиксация версии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Степук А.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Проведение теста и обработка результатов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11 анкет, 4 диаграммы-профиля, выбор варианта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Харченко А.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Адаптивные макеты и макеты устройств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6 разрешений, 5 устройств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Шепко В.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Руководства по стилям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2 документа, 33 раздела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Степук А.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Техническое задание на прототипы и сборка в Figma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ТЗ, карта переходов, интерактивные прототипы мобильного и веб-приложения</w:t>
            </w:r>
          </w:p>
        </w:tc>
        <w:tc>
          <w:tcPr>
            <w:tcW w:type="dxa" w:w="2339"/>
          </w:tcPr>
          <w:p>
            <w:r>
              <w:rPr>
                <w:b w:val="0"/>
                <w:i w:val="0"/>
                <w:sz w:val="21"/>
              </w:rPr>
              <w:t>Шепко В., Степук А.</w:t>
            </w:r>
          </w:p>
        </w:tc>
      </w:tr>
    </w:tbl>
    <w:p/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Последовательность шагов определяется зависимостями по данным: цветовые схемы нельзя подготовить до определения целевого профиля, макеты для исследования — до утверждения схем, а руководства по стилям и прототип — до выбора варианта по результатам теста. Шаги 1 и 2 выполнялись параллельно, равно как шаги 6 и 7 после получения результатов.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Решение строить все артефакты из общего набора токенов принято на шаге 3 и позволило выполнить шаг 7 без переработки: смена палитры по результатам теста свелась к перегенерации документов.</w:t>
      </w:r>
      <w:r>
        <w:br w:type="page"/>
      </w:r>
    </w:p>
    <w:p>
      <w:pPr>
        <w:spacing w:after="120"/>
      </w:pPr>
      <w:r>
        <w:rPr>
          <w:b/>
          <w:sz w:val="32"/>
        </w:rPr>
        <w:t>Выходные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Требование методических указаний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Артефакт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2–3 вида дизайн-макета веб- и мобильного приложения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mockups/visual-language.html</w:t>
            </w:r>
            <w:r>
              <w:rPr>
                <w:b w:val="0"/>
                <w:i w:val="0"/>
                <w:sz w:val="21"/>
              </w:rPr>
              <w:t xml:space="preserve"> — 3 варианта × 2 экрана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Результаты исследования визуального языка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research/results.md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research/charts/profile-*.svg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Макеты страницы и экрана под разные разрешения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mockups/catalog.html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mockups/responsive-catalog.html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mockups/mobile-home.html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mockups/devices.html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Концептуальные макеты: интерактивные прототипы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 xml:space="preserve">мобильный — </w:t>
            </w:r>
            <w:r>
              <w:rPr>
                <w:rFonts w:ascii="Courier New" w:hAnsi="Courier New"/>
                <w:sz w:val="15"/>
              </w:rPr>
              <w:t>mockups/prototype-*.html</w:t>
            </w:r>
            <w:r>
              <w:rPr>
                <w:b w:val="0"/>
                <w:i w:val="0"/>
                <w:sz w:val="21"/>
              </w:rPr>
              <w:t xml:space="preserve">, веб — </w:t>
            </w:r>
            <w:r>
              <w:rPr>
                <w:rFonts w:ascii="Courier New" w:hAnsi="Courier New"/>
                <w:sz w:val="15"/>
              </w:rPr>
              <w:t>mockups/web-*.html</w:t>
            </w:r>
            <w:r>
              <w:rPr>
                <w:b w:val="0"/>
                <w:i w:val="0"/>
                <w:sz w:val="21"/>
              </w:rPr>
              <w:t xml:space="preserve"> и </w:t>
            </w:r>
            <w:r>
              <w:rPr>
                <w:rFonts w:ascii="Courier New" w:hAnsi="Courier New"/>
                <w:sz w:val="15"/>
              </w:rPr>
              <w:t>mockups/catalog.html</w:t>
            </w:r>
            <w:r>
              <w:rPr>
                <w:b w:val="0"/>
                <w:i w:val="0"/>
                <w:sz w:val="21"/>
              </w:rPr>
              <w:t>; ссылка на Figma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Руководства по стилям для мобильного и веб-приложения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style-guide/web.md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rFonts w:ascii="Courier New" w:hAnsi="Courier New"/>
                <w:sz w:val="15"/>
              </w:rPr>
              <w:t>style-guide/mobile.md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Отчёт с планированием этапа и описанием шагов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настоящий документ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32"/>
        </w:rPr>
        <w:t>Заключение</w:t>
      </w:r>
    </w:p>
    <w:p>
      <w:pPr>
        <w:spacing w:after="0"/>
        <w:ind w:left="567"/>
        <w:jc w:val="both"/>
      </w:pPr>
      <w:r>
        <w:t xml:space="preserve">1. </w:t>
      </w:r>
      <w:r>
        <w:rPr>
          <w:b w:val="0"/>
          <w:i w:val="0"/>
          <w:sz w:val="28"/>
        </w:rPr>
        <w:t>Исследован визуальный язык продукта. Составлен список из 15 пар прилагательных с целевым профилем, обоснованным данными ЛР № 1 — ЛР № 4 и заданным до проведения теста. Подготовлены три цветовых варианта, различающиеся исключительно значениями токенов.</w:t>
      </w:r>
    </w:p>
    <w:p>
      <w:pPr>
        <w:spacing w:after="0"/>
        <w:ind w:left="567"/>
        <w:jc w:val="both"/>
      </w:pPr>
      <w:r>
        <w:t xml:space="preserve">2. </w:t>
      </w:r>
      <w:r>
        <w:rPr>
          <w:b w:val="0"/>
          <w:i w:val="0"/>
          <w:sz w:val="28"/>
        </w:rPr>
        <w:t>Проведён тест с 11 респондентами, состав выборки соответствует группам пользователей из ЛР № 1. Выбран вариант Вариант C «Тёплый локальный» с взвешенным отклонением 9.77 против 10.77 и 13.05 у остальных. Результат подтверждён контрольным вопросом (6 из 11) и проверен на устойчивость к эффекту порядка.</w:t>
      </w:r>
    </w:p>
    <w:p>
      <w:pPr>
        <w:spacing w:after="0"/>
        <w:ind w:left="567"/>
        <w:jc w:val="both"/>
      </w:pPr>
      <w:r>
        <w:t xml:space="preserve">3. </w:t>
      </w:r>
      <w:r>
        <w:rPr>
          <w:b w:val="0"/>
          <w:i w:val="0"/>
          <w:sz w:val="28"/>
        </w:rPr>
        <w:t>Цветовая концепция, предложенная в ЛР № 2, по результатам теста заняла последнее место и заменена. Дополнительно установлено, что её акцентный цвет не удовлетворял требованию WCAG по контрасту. Проектное решение, принятое ранее без проверки, скорректировано эмпирическими данными.</w:t>
      </w:r>
    </w:p>
    <w:p>
      <w:pPr>
        <w:spacing w:after="0"/>
        <w:ind w:left="567"/>
        <w:jc w:val="both"/>
      </w:pPr>
      <w:r>
        <w:t xml:space="preserve">4. </w:t>
      </w:r>
      <w:r>
        <w:rPr>
          <w:b w:val="0"/>
          <w:i w:val="0"/>
          <w:sz w:val="28"/>
        </w:rPr>
        <w:t>Разработаны адаптивные макеты каталога для шести разрешений и макеты главного экрана для пяти устройств, включая планшеты. Макеты реализованы единой отзывчивой разметкой; каждое состояние проверено измерением фактических значений в браузере. Разработаны интерактивные прототипы мобильного и веб-приложения по единому сценарию покупки с учётом платформенных различий.</w:t>
      </w:r>
    </w:p>
    <w:p>
      <w:pPr>
        <w:spacing w:after="0"/>
        <w:ind w:left="567"/>
        <w:jc w:val="both"/>
      </w:pPr>
      <w:r>
        <w:t xml:space="preserve">5. </w:t>
      </w:r>
      <w:r>
        <w:rPr>
          <w:b w:val="0"/>
          <w:i w:val="0"/>
          <w:sz w:val="28"/>
        </w:rPr>
        <w:t>Разработаны руководства по стилям для веб- и мобильного приложения. Перечень состояний компонентов выведен из кодов ответа API и перечислений базы данных ЛР № 4, а не составлен произвольно, что обеспечивает полноту покрытия состояний системы.</w:t>
      </w:r>
    </w:p>
    <w:p>
      <w:pPr>
        <w:spacing w:after="0"/>
        <w:ind w:left="567"/>
        <w:jc w:val="both"/>
      </w:pPr>
      <w:r>
        <w:t xml:space="preserve">6. </w:t>
      </w:r>
      <w:r>
        <w:rPr>
          <w:b w:val="0"/>
          <w:i w:val="0"/>
          <w:sz w:val="28"/>
        </w:rPr>
        <w:t>Все артефакты генерируются из общего набора токенов, поэтому макеты, руководства по стилям и настоящий отчёт согласованы между собой по построению.</w:t>
      </w:r>
      <w:r>
        <w:br w:type="page"/>
      </w:r>
    </w:p>
    <w:p>
      <w:pPr>
        <w:spacing w:after="120"/>
      </w:pPr>
      <w:r>
        <w:rPr>
          <w:b/>
          <w:sz w:val="32"/>
        </w:rPr>
        <w:t>Список использованных источников</w:t>
      </w:r>
    </w:p>
    <w:p>
      <w:pPr>
        <w:spacing w:after="0"/>
        <w:ind w:left="567"/>
        <w:jc w:val="both"/>
      </w:pPr>
      <w:r>
        <w:t xml:space="preserve">1. </w:t>
      </w:r>
      <w:r>
        <w:rPr>
          <w:b w:val="0"/>
          <w:i w:val="0"/>
          <w:sz w:val="28"/>
        </w:rPr>
        <w:t>Давидовская, М. И. Проектирование прототипа приложения : методические указания по выполнению лабораторной работы № 5 / М. И. Давидовская. — Минск : БГУ, 2024.</w:t>
      </w:r>
    </w:p>
    <w:p>
      <w:pPr>
        <w:spacing w:after="0"/>
        <w:ind w:left="567"/>
        <w:jc w:val="both"/>
      </w:pPr>
      <w:r>
        <w:t xml:space="preserve">2. </w:t>
      </w:r>
      <w:r>
        <w:rPr>
          <w:b w:val="0"/>
          <w:i w:val="0"/>
          <w:sz w:val="28"/>
        </w:rPr>
        <w:t>Харченко, А. Лабораторная работа № 4. Стили интеграции программных систем и проектирование API / А. Харченко, В. Шепко, А. Степук. — Минск : БГУ, 2026.</w:t>
      </w:r>
    </w:p>
    <w:p>
      <w:pPr>
        <w:spacing w:after="0"/>
        <w:ind w:left="567"/>
        <w:jc w:val="both"/>
      </w:pPr>
      <w:r>
        <w:t xml:space="preserve">3. </w:t>
      </w:r>
      <w:r>
        <w:rPr>
          <w:b w:val="0"/>
          <w:i w:val="0"/>
          <w:sz w:val="28"/>
        </w:rPr>
        <w:t>Харченко, А. Лабораторная работа № 2. Проектирование информационной архитектуры и взаимодействия с пользователем / А. Харченко, В. Шепко, А. Степук. — Минск : БГУ, 2026.</w:t>
      </w:r>
    </w:p>
    <w:p>
      <w:pPr>
        <w:spacing w:after="0"/>
        <w:ind w:left="567"/>
        <w:jc w:val="both"/>
      </w:pPr>
      <w:r>
        <w:t xml:space="preserve">4. </w:t>
      </w:r>
      <w:r>
        <w:rPr>
          <w:b w:val="0"/>
          <w:i w:val="0"/>
          <w:sz w:val="28"/>
        </w:rPr>
        <w:t>Osgood, C. E. The Measurement of Meaning / C. E. Osgood, G. J. Suci, P. H. Tannenbaum. — University of Illinois Press, 1957.</w:t>
      </w:r>
    </w:p>
    <w:p>
      <w:pPr>
        <w:spacing w:after="0"/>
        <w:ind w:left="567"/>
        <w:jc w:val="both"/>
      </w:pPr>
      <w:r>
        <w:t xml:space="preserve">5. </w:t>
      </w:r>
      <w:r>
        <w:rPr>
          <w:b w:val="0"/>
          <w:i w:val="0"/>
          <w:sz w:val="28"/>
        </w:rPr>
        <w:t>Web Content Accessibility Guidelines (WCAG) 2.1 [Электронный ресурс]. — Режим доступа: https://www.w3.org/TR/WCAG21/. — Дата доступа: 28.10.2026.</w:t>
      </w:r>
    </w:p>
    <w:p>
      <w:pPr>
        <w:spacing w:after="0"/>
        <w:ind w:left="567"/>
        <w:jc w:val="both"/>
      </w:pPr>
      <w:r>
        <w:t xml:space="preserve">6. </w:t>
      </w:r>
      <w:r>
        <w:rPr>
          <w:b w:val="0"/>
          <w:i w:val="0"/>
          <w:sz w:val="28"/>
        </w:rPr>
        <w:t>Material Design 3. Accessibility [Электронный ресурс]. — Режим доступа: https://m3.material.io/foundations/accessible-design. — Дата доступа: 28.10.2026.</w:t>
      </w:r>
    </w:p>
    <w:p>
      <w:pPr>
        <w:spacing w:after="0"/>
        <w:ind w:left="567"/>
        <w:jc w:val="both"/>
      </w:pPr>
      <w:r>
        <w:t xml:space="preserve">7. </w:t>
      </w:r>
      <w:r>
        <w:rPr>
          <w:b w:val="0"/>
          <w:i w:val="0"/>
          <w:sz w:val="28"/>
        </w:rPr>
        <w:t>Human Interface Guidelines. Layout [Электронный ресурс]. — Режим доступа: https://developer.apple.com/design/human-interface-guidelines/layout. — Дата доступа: 28.10.2026.</w:t>
      </w:r>
    </w:p>
    <w:p>
      <w:pPr>
        <w:spacing w:after="0"/>
        <w:ind w:left="567"/>
        <w:jc w:val="both"/>
      </w:pPr>
      <w:r>
        <w:t xml:space="preserve">8. </w:t>
      </w:r>
      <w:r>
        <w:rPr>
          <w:b w:val="0"/>
          <w:i w:val="0"/>
          <w:sz w:val="28"/>
        </w:rPr>
        <w:t>Figma. Prototyping [Электронный ресурс]. — Режим доступа: https://help.figma.com/category/87-prototyping. — Дата доступа: 27.10.2026.</w:t>
      </w:r>
    </w:p>
    <w:p>
      <w:pPr>
        <w:spacing w:after="0"/>
        <w:ind w:left="567"/>
        <w:jc w:val="both"/>
      </w:pPr>
      <w:r>
        <w:t xml:space="preserve">9. </w:t>
      </w:r>
      <w:r>
        <w:rPr>
          <w:b w:val="0"/>
          <w:i w:val="0"/>
          <w:sz w:val="28"/>
        </w:rPr>
        <w:t>Paletton — The Color Scheme Designer [Электронный ресурс]. — Режим доступа: http://paletton.com. — Дата доступа: 27.10.2026.</w:t>
      </w:r>
    </w:p>
    <w:p>
      <w:pPr>
        <w:spacing w:after="0"/>
        <w:ind w:left="567"/>
        <w:jc w:val="both"/>
      </w:pPr>
      <w:r>
        <w:t xml:space="preserve">10. </w:t>
      </w:r>
      <w:r>
        <w:rPr>
          <w:b w:val="0"/>
          <w:i w:val="0"/>
          <w:sz w:val="28"/>
        </w:rPr>
        <w:t>Guidelines For Navigation And Categories In E-Commerce [Электронный ресурс]. — Режим доступа: https://www.smashingmagazine.com. — Дата доступа: 27.10.2026.</w:t>
      </w:r>
    </w:p>
    <w:p>
      <w:pPr>
        <w:spacing w:after="0"/>
        <w:ind w:left="567"/>
        <w:jc w:val="both"/>
      </w:pPr>
      <w:r>
        <w:t xml:space="preserve">11. </w:t>
      </w:r>
      <w:r>
        <w:rPr>
          <w:b w:val="0"/>
          <w:i w:val="0"/>
          <w:sz w:val="28"/>
        </w:rPr>
        <w:t>RFC 9457. Problem Details for HTTP APIs [Электронный ресурс]. — Режим доступа: https://www.rfc-editor.org/rfc/rfc9457. — Дата доступа: 20.10.2026.</w:t>
      </w:r>
      <w:r>
        <w:br w:type="page"/>
      </w:r>
    </w:p>
    <w:p>
      <w:pPr>
        <w:spacing w:after="120"/>
      </w:pPr>
      <w:r>
        <w:rPr>
          <w:b/>
          <w:sz w:val="32"/>
        </w:rPr>
        <w:t>Приложение А. Диаграммы-профили</w:t>
      </w:r>
    </w:p>
    <w:p>
      <w:pPr>
        <w:spacing w:after="0"/>
        <w:ind w:firstLine="709"/>
        <w:jc w:val="both"/>
      </w:pPr>
      <w:r>
        <w:rPr>
          <w:b w:val="0"/>
          <w:i w:val="0"/>
          <w:sz w:val="28"/>
        </w:rPr>
        <w:t>Диаграммы построены автоматически из файла ответов. Пунктирной линией нанесён целевой профиль, заданный до проведения теста.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Файл</w:t>
            </w:r>
          </w:p>
        </w:tc>
        <w:tc>
          <w:tcPr>
            <w:tcW w:type="dxa" w:w="4677"/>
          </w:tcPr>
          <w:p>
            <w:r>
              <w:rPr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research/charts/profile-all.svg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профили всех трёх вариантов с целевым профилем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research/charts/profile-a.svg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вариант A «Доверие» отдельно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research/charts/profile-b.svg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вариант B «Технологичный» отдельно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5"/>
              </w:rPr>
              <w:t>research/charts/profile-c.svg</w:t>
            </w:r>
          </w:p>
        </w:tc>
        <w:tc>
          <w:tcPr>
            <w:tcW w:type="dxa" w:w="4677"/>
          </w:tcPr>
          <w:p>
            <w:r>
              <w:rPr>
                <w:b w:val="0"/>
                <w:i w:val="0"/>
                <w:sz w:val="21"/>
              </w:rPr>
              <w:t>вариант C «Тёплый локальный» отдельно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