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204B5">
      <w:pPr>
        <w:pStyle w:val="3"/>
      </w:pPr>
      <w:r>
        <w:t>Associate Editor Comments</w:t>
      </w:r>
    </w:p>
    <w:p w14:paraId="2F75011C">
      <w:r>
        <w:t>EN: Reviewers acknowledge the novel trust-aware exploration and attention mechanisms but highlight presentation challenges, including dense mathematical formalism, cumbersome notation, and overloaded figures. Key concerns include logical inconsistencies, simplistic simulation environments, parameter mismatches, and the absence of rigorous ablation studies, convergence proofs, and robustness testing under realistic constraints such as communication delays. Addressing these issues through improved clarity, comprehensive validation, and systematic sensitivity analyses would significantly strengthen the overall contribution and practical deployment readiness for field applications.</w:t>
      </w:r>
    </w:p>
    <w:p w14:paraId="2A99CD8B">
      <w:r>
        <w:t>CN: 审稿人认可新颖的信任感知探索与注意力机制，但指出在表达方面存在挑战，包括数学形式过于密集、符号繁琐以及图像过载。主要问题包括逻辑不一致、仿真环境过于简单、参数不匹配，以及缺乏严格的消融研究、收敛性证明和在通信延迟等真实约束下的鲁棒性测试。通过提升清晰度、完善验证以及系统性敏感性分析，将显著增强整体贡献及工程应用准备度。</w:t>
      </w:r>
    </w:p>
    <w:p w14:paraId="5BADF992"/>
    <w:p w14:paraId="347E1481">
      <w:pPr>
        <w:pStyle w:val="3"/>
      </w:pPr>
      <w:r>
        <w:t>Reviewer 1</w:t>
      </w:r>
    </w:p>
    <w:p w14:paraId="36BBF73E">
      <w:r>
        <w:t>Please comment on Major Contribution of the Paper, Organization and Style, Technical Accuracy, Presentation and Adequacy of Citations (List possible additions if needed).</w:t>
      </w:r>
    </w:p>
    <w:p w14:paraId="678F914F">
      <w:r>
        <w:t>EN: The paper presents a comprehensive and well-integrated framework for cooperative UAV swarm interception, addressing both target assignment and guidance control in a unified manner. Its primary contribution lies in combining a distributed consensus-based optimization algorithm (IDBO) with a sophisticated multi-agent reinforcement learning framework (ART-MAPPO). This integration is particularly valuable because it bridges a gap in the literature that often treats assignment and control independently. The introduction of adversarial advantage modeling within the assignment process and the formulation of a trust-aware exploration mechanism within MARL represent notable conceptual advances. The trust-modulated exploration strategy is an adaptive way to find a balance between exploration and exploitation. This is especially important in environments that are very dynamic and safety-critical. The ART-MAPPO framework further strengthens the contribution by incorporating attention-residual learning, temporal encoding, and stability-enhancing policy optimization techniques, resulting in improved convergence, coordination, and constraint satisfaction. Overall, the work offers a meaningful system-level contribution with both theoretical and practical implications for multi-agent autonomous systems.</w:t>
      </w:r>
    </w:p>
    <w:p w14:paraId="7BBA67FE">
      <w:r>
        <w:t>CN: 该论文提出了一个综合且高度集成的框架，用于无人机集群协同拦截，实现了目标分配与制导控制的一体化。其主要贡献在于将基于分布式一致性的优化算法（IDBO）与多智能体强化学习框架（ART-MAPPO）相结合。该集成具有重要意义，因为它弥合了文献中通常将分配与控制分离处理的空白。在分配过程中引入对抗优势建模以及在多智能体强化学习中提出信任感知探索机制，均体现了重要的概念性进展。信任调制的探索策略是一种自适应方法，可在探索与利用之间取得平衡，这在高度动态且安全关键的环境中尤为重要。ART-MAPPO框架通过引入注意力残差学习、时间编码以及增强稳定性的策略优化技术，进一步提升了收敛性、协同能力与约束满足能力。总体而言，该工作在多智能体自主系统领域提供了具有理论与实践意义的系统级贡献。</w:t>
      </w:r>
    </w:p>
    <w:p w14:paraId="31CD0550">
      <w:r>
        <w:t>EN: The presentation of the paper is somewhat hindered by the high density of mathematical expressions, especially in Sections III and IV, where multiple equations are introduced in rapid succession with limited intuitive explanation. This can make the paper difficult to follow, even for technically proficient readers. Additionally, the notation is extensive and sometimes cumbersome, which further affects readability. While the experimental section is strong and well-supported by visualizations, some figures are overloaded with multiple curves, reducing clarity. Overall, the paper demonstrates strong technical depth and clear structure, but its readability could be improved through better balance between formalism and intuition.</w:t>
      </w:r>
    </w:p>
    <w:p w14:paraId="6F9B14DB">
      <w:r>
        <w:t>CN: 论文在表达方面受到较大影响，尤其是在第三和第四部分，数学公式密集且连续出现，但直观解释不足，这使得即使是技术熟练的读者也较难理解。此外，符号体系较为庞杂且繁琐，进一步降低了可读性。尽管实验部分较为扎实并配有可视化支持，但部分图像包含过多曲线，导致清晰度下降。总体而言，该论文具有较强技术深度与清晰结构，但在形式化表达与直观解释之间的平衡仍有提升空间。</w:t>
      </w:r>
    </w:p>
    <w:p w14:paraId="12D59946">
      <w:r>
        <w:t>EN: Provide a concise notation table summarizing key variables and symbols used throughout the paper</w:t>
      </w:r>
    </w:p>
    <w:p w14:paraId="4801D99A">
      <w:r>
        <w:t>CN: 提供一个简明的符号表，总结全文关键变量与符号</w:t>
      </w:r>
    </w:p>
    <w:p w14:paraId="656C836E"/>
    <w:p w14:paraId="5CDCE956">
      <w:r>
        <w:t>EN: Include pseudocode or algorithm boxes for IDBO and ART-MAPPO to improve reproducibility</w:t>
      </w:r>
    </w:p>
    <w:p w14:paraId="7E799059">
      <w:r>
        <w:t>CN: 为IDBO与ART-MAPPO加入伪代码或算法框以提升可复现性</w:t>
      </w:r>
    </w:p>
    <w:p w14:paraId="67B629B1"/>
    <w:p w14:paraId="5D79593C">
      <w:r>
        <w:t>EN: Add intuitive explanations before or alongside major equations, especially in Sections III and IV</w:t>
      </w:r>
    </w:p>
    <w:p w14:paraId="353C9649">
      <w:r>
        <w:t>CN: 在主要公式前或旁增加直观解释，尤其是第三与第四部分</w:t>
      </w:r>
    </w:p>
    <w:p w14:paraId="04EDC918"/>
    <w:p w14:paraId="19ECDA23">
      <w:r>
        <w:t>EN: Expand discussion on real-world applicability, including communication delays, sensing uncertainty, and 3D dynamics.</w:t>
      </w:r>
    </w:p>
    <w:p w14:paraId="1DB058E8">
      <w:r>
        <w:t>CN: 扩展对真实应用的讨论，包括通信延迟、感知不确定性与</w:t>
      </w:r>
      <w:r>
        <w:rPr>
          <w:highlight w:val="yellow"/>
        </w:rPr>
        <w:t>三维动力学</w:t>
      </w:r>
    </w:p>
    <w:p w14:paraId="5C571F05"/>
    <w:p w14:paraId="144FA2A3">
      <w:r>
        <w:t>EN: Discuss the sensitivity of the reward function with respect to weights and hyperparameters</w:t>
      </w:r>
    </w:p>
    <w:p w14:paraId="6A542B38">
      <w:r>
        <w:t>CN: 讨论奖励函数对权重与超参数的敏感性</w:t>
      </w:r>
    </w:p>
    <w:p w14:paraId="4293A192">
      <w:pPr>
        <w:rPr>
          <w:rFonts w:hint="default" w:eastAsia="宋体"/>
          <w:lang w:val="en-US" w:eastAsia="zh-CN"/>
        </w:rPr>
      </w:pPr>
      <w:r>
        <w:rPr>
          <w:rFonts w:hint="eastAsia" w:eastAsia="宋体"/>
          <w:lang w:val="en-US" w:eastAsia="zh-CN"/>
        </w:rPr>
        <w:t>说清楚</w:t>
      </w:r>
    </w:p>
    <w:p w14:paraId="4A5077D4"/>
    <w:p w14:paraId="29D1617B">
      <w:r>
        <w:t>EN: Provide rigorous discussion on the convergence claims and equilibrium properties.</w:t>
      </w:r>
    </w:p>
    <w:p w14:paraId="45BD8DD8">
      <w:r>
        <w:t>CN: 对收敛性声明与均衡性质提供更严格讨论</w:t>
      </w:r>
    </w:p>
    <w:p w14:paraId="14FCDF80"/>
    <w:p w14:paraId="4D4C2653">
      <w:pPr>
        <w:pStyle w:val="3"/>
      </w:pPr>
      <w:r>
        <w:t>Reviewer 2</w:t>
      </w:r>
    </w:p>
    <w:p w14:paraId="2C4DFC58">
      <w:r>
        <w:t>EN: The paper addresses the challenge of cooperative interception of highly dynamic maneuvering targets in UAV swarm attacks, proposing a two-layer intelligent cooperative interception method that employs a coupled Improved Dung Beetle Optimization (IDBO) algorithm for rapid target allocation and an ART-MAPPO framework for precise cooperative guidance. However, the paper suffers from the following problems:</w:t>
      </w:r>
    </w:p>
    <w:p w14:paraId="316CB36A">
      <w:r>
        <w:t>CN: 该论文针对高动态机动目标的无人机集群协同拦截问题，提出了一种两层智能协同拦截方法，采用改进蜣螂优化（IDBO）进行快速目标分配，并结合ART-MAPPO实现精确协同制导。然而，该论文存在以下问题：</w:t>
      </w:r>
    </w:p>
    <w:p w14:paraId="24C45662">
      <w:r>
        <w:t>EN: The author lists "introducing a reinforcement learning-based reward function to achieve precise time coordination" as the third core contribution. However, in the Multi-Agent Reinforcement Learning (MARL) field, adding consensus-based penalty terms to the reward function (Equation 64) to guide agents toward consistency is a rather common reward shaping technique. "Dual clipping with adaptive KL" is a common method used in RL training to prevent gradient explosion, yet the author packages it as a core innovation for solving "aircraft overload saturation".</w:t>
      </w:r>
    </w:p>
    <w:p w14:paraId="243B5547">
      <w:r>
        <w:t>CN: 作者将“基于强化学习的奖励函数以实现精确时间协同”列为第三项核心贡献。然而，在多智能体强化学习领域，在奖励函数中加入基于一致性的惩罚项（公式64）以引导智能体一致性是一种较为常见的奖励塑形方法。“带自适应KL的双重裁剪”也是强化学习训练中用于防止梯度爆炸的常见方法，但作者将其包装为解决“飞行器过载饱和”的核心创新。</w:t>
      </w:r>
    </w:p>
    <w:p w14:paraId="04F79F47"/>
    <w:p w14:paraId="3291846B">
      <w:r>
        <w:t>EN: The module schematic diagram on the left side of Fig. 5 lacks clarity in its presentation. h(0) appears at multiple locations, and the flow from h(l) to h(l+1) is unclear.</w:t>
      </w:r>
    </w:p>
    <w:p w14:paraId="1C69E1C1">
      <w:r>
        <w:t>CN: 图5左侧模块结构图表达不清晰，h(0)在多个位置出现，并且h(l)到h(l+1)的流向不明确。</w:t>
      </w:r>
    </w:p>
    <w:p w14:paraId="2396C5DC"/>
    <w:p w14:paraId="032F337A">
      <w:r>
        <w:t>EN: Section IV.B contains a logical paradox: the text describes a monotonic incremental process, while Equation (42) implements a convergent smoothing process. This divergence between the mathematical definition and physical intuition renders the mechanism logically inconsistent in maintaining high-trust stability.</w:t>
      </w:r>
    </w:p>
    <w:p w14:paraId="5CDB0DBA">
      <w:r>
        <w:t xml:space="preserve">CN: </w:t>
      </w:r>
      <w:r>
        <w:rPr>
          <w:highlight w:val="yellow"/>
        </w:rPr>
        <w:t>第IV.B节存在逻辑矛盾：文字描述为单调递增过程，而公式（42）实现的是收敛平滑过程。这种数学定义与物理直觉之间的不一致，使得该机制在高信任稳定性维持方面存在逻辑不一致。</w:t>
      </w:r>
    </w:p>
    <w:p w14:paraId="045817ED"/>
    <w:p w14:paraId="5DA2E64E">
      <w:r>
        <w:t>EN: The simulation environment is rather simplistic, and apart from UAV dynamics, there is no other environmental modeling, which does not align with the high-fidelity simulation environment claimed in the paper.</w:t>
      </w:r>
    </w:p>
    <w:p w14:paraId="03025E53">
      <w:r>
        <w:t xml:space="preserve">CN: </w:t>
      </w:r>
      <w:r>
        <w:rPr>
          <w:highlight w:val="yellow"/>
        </w:rPr>
        <w:t>仿真环境过于简单，除无人机动力学外缺乏其他环境建模，与论文所宣称的高保真仿真环境不一致。</w:t>
      </w:r>
    </w:p>
    <w:p w14:paraId="63B59BE8"/>
    <w:p w14:paraId="4BE87404">
      <w:r>
        <w:t>EN: In Section V.C, the authors state that each episode has at most 25 steps during training, while in Section V.A the simulation step size is set to 0.05s. This implies a training period of 1.25s, which is impossible to learn any interception strategies given an engagement distance of 1500 meters and a maximum speed of 40 m/s. By the way, the settings "D1 = 100 m, D2 = 1500 m, and D3 = 1600 m" are inconsistent with the illustrations in Fig. 6.</w:t>
      </w:r>
    </w:p>
    <w:p w14:paraId="29641BB8">
      <w:r>
        <w:t>CN: 在第V.C节中，作者指出每个episode最多25步，而在V.A节中仿真步长设为0.05秒。这意味着训练时间仅为1.25秒，在1500米交战距离与40m/s最大速度条件下不可能学习任何拦截策略。此外，“D1=100m, D2=1500m, D3=1600m”的设置与图6不一致。</w:t>
      </w:r>
    </w:p>
    <w:p w14:paraId="6E8E5CE8"/>
    <w:p w14:paraId="156113C7">
      <w:r>
        <w:t>EN: There is a lack of end-to-end experimental verification covering the complete workflow of "task allocation and cooperative guidance". Furthermore, ablation studies are not provided to demonstrate the effectiveness of the proposed innovations.</w:t>
      </w:r>
    </w:p>
    <w:p w14:paraId="446DEB05">
      <w:r>
        <w:t xml:space="preserve">CN: </w:t>
      </w:r>
      <w:r>
        <w:rPr>
          <w:highlight w:val="yellow"/>
        </w:rPr>
        <w:t>缺乏覆盖“任务分配与协同制导”完整流程的端到端实验验证。此外，也未提供消融实验以证明所提出方法的有效性。</w:t>
      </w:r>
    </w:p>
    <w:p w14:paraId="3B60A4D0"/>
    <w:p w14:paraId="01475A50">
      <w:pPr>
        <w:pStyle w:val="3"/>
      </w:pPr>
      <w:r>
        <w:t>Reviewer 3</w:t>
      </w:r>
    </w:p>
    <w:p w14:paraId="1E8E4826">
      <w:r>
        <w:t>EN: The author is encouraged to further justify the distributed consensus-based IDBO formulation by clarifying how adaptive rolling, dancing, breeding and stealing coefficients influence convergence stability in interception scenarios. Also, a more rigorous complexity and scalability analysis is needed for the Improved Dung Beetle Optimization algorithm under cooperative deflection environments where communication delays influence distributed consensus efficiency. Then, it would be helpful to add an ablation investigation demonstrating the independent contribution of the trust-aware mechanism, GRU temporal encoder, and attention-residual backbone within ART-MAPPO architecture. Correspondingly, including a comparative theoretical discussion between the proposed ART-MAPPO framework and conventional MAPPO variants regarding convergence guarantees, exploration-exploitation balance, and policy robustness would significantly strengthen the research technically. Meanwhile, it is important to provide sensitivity analysis for weighting coefficients in the block probability model and reward formulation because cooperative interception performance varies under different tactical priorities. Moreover, I suggest the author explain whether dual-clip PPO with adaptive KL regularization introduces additional computational overhead during real-time deployment on processors operating in latency constraints within UAV swarms. Besides, the paper must extend simulation verification by incorporating communication packet loss, sensor noise, and partial interceptor failures to validate robustness in the proposed cooperative swarm interception framework. Notably, one of the recommendations is to include failure-case analysis for unsuccessful interception and delayed cooperative engagement scenarios because understanding framework limitations remains essential for practical battlefield deployment reliability. In addition, provide a discussion on the generalization capability of the trained ART-MAPPO model under unseen manoeuvring attack patterns, since the current evaluation mainly considers predefined penetration trajectories during testing. At last, it is advisable to incorporate hardware-in-the-loop and semi-physical simulation validation to improve the practical credibility of the ART-MAPPO cooperative tapping strategy for realistic autonomous UAV defence applications effectively.</w:t>
      </w:r>
    </w:p>
    <w:p w14:paraId="7C4BAFD5">
      <w:pPr>
        <w:rPr>
          <w:rFonts w:hint="eastAsia" w:eastAsia="宋体"/>
          <w:highlight w:val="yellow"/>
          <w:lang w:eastAsia="zh-CN"/>
        </w:rPr>
      </w:pPr>
      <w:r>
        <w:t>CN: 建议作者进一步论证基于分布式一致性的IDBO方法，明确自适应滚动、舞蹈、繁殖与偷取系数如何影响拦截场景中的收敛稳定性。同时，需要对改进蜣螂优化算法在通信延迟影响一致性效率的协同偏转环境下进行更严格的复杂度与可扩展性分析。此外，建议加入消融实验以验证信任机制、GRU时序编码器与注意力残差骨干网络在ART-MAPPO中的独立贡献。同时，应比较所提出ART-MAPPO与传统MAPPO在收敛性保证、探索-利用平衡及策略鲁棒性方面的理论差异，以增强理论严谨性。同时，需要对奖励函数及阻塞概率模型中的权重系数进行敏感性分析，因为协同拦截性能会随战术权重变化而变化。此外，建议说明双重裁剪PPO结合自适应KL正则是否会在实时部署中带来额外计算开销，尤其是在具有时延约束的无人机集群处理器上。</w:t>
      </w:r>
      <w:r>
        <w:rPr>
          <w:highlight w:val="yellow"/>
        </w:rPr>
        <w:t>此外，论文需扩展仿真验证，引入通信丢包、传感器噪声以及部分拦截器失效等情况以验证鲁棒性。还建议加入失败案例分析，以说明拦截失败或协同延迟情形，因为理解方法局限性对实际部署至关重要。同时，应讨论模型在未见机动轨迹下的泛化能力，因为当前测试主要基于预定义轨迹。最后，建议加入硬件在环及半实物仿真验证，以增强方法的工程可信度。</w:t>
      </w:r>
    </w:p>
    <w:p w14:paraId="0B3C879E">
      <w:pPr>
        <w:rPr>
          <w:highlight w:val="yellow"/>
        </w:rPr>
      </w:pPr>
    </w:p>
    <w:p w14:paraId="63F704AA">
      <w:pPr>
        <w:rPr>
          <w:highlight w:val="yellow"/>
        </w:rPr>
      </w:pPr>
    </w:p>
    <w:p w14:paraId="7D3BF537">
      <w:pPr>
        <w:rPr>
          <w:rFonts w:hint="eastAsia" w:eastAsia="宋体"/>
          <w:highlight w:val="yellow"/>
          <w:lang w:eastAsia="zh-CN"/>
        </w:rPr>
      </w:pPr>
      <w:r>
        <w:rPr>
          <w:rFonts w:hint="eastAsia" w:eastAsia="宋体"/>
          <w:highlight w:val="yellow"/>
          <w:lang w:eastAsia="zh-CN"/>
        </w:rPr>
        <w:t>失效之后再分配一次</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正黑"/>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文泉驿正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Nimbus Roman No9 L">
    <w:panose1 w:val="00000000000000000000"/>
    <w:charset w:val="00"/>
    <w:family w:val="auto"/>
    <w:pitch w:val="default"/>
    <w:sig w:usb0="00000000" w:usb1="00000000" w:usb2="00000000" w:usb3="00000000" w:csb0="0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6030804020204"/>
    <w:charset w:val="00"/>
    <w:family w:val="auto"/>
    <w:pitch w:val="default"/>
    <w:sig w:usb0="E7006EFF" w:usb1="D200FDFF" w:usb2="0A246029" w:usb3="0400200C" w:csb0="600001FF" w:csb1="DFFF0000"/>
  </w:font>
  <w:font w:name="文泉驿正黑">
    <w:panose1 w:val="02000603000000000000"/>
    <w:charset w:val="86"/>
    <w:family w:val="auto"/>
    <w:pitch w:val="default"/>
    <w:sig w:usb0="900002BF" w:usb1="2BDF7DFB" w:usb2="00000036" w:usb3="00000000" w:csb0="603E000D" w:csb1="D2D70000"/>
  </w:font>
  <w:font w:name="Cambria">
    <w:altName w:val="Caladea"/>
    <w:panose1 w:val="02040503050406030204"/>
    <w:charset w:val="00"/>
    <w:family w:val="auto"/>
    <w:pitch w:val="default"/>
    <w:sig w:usb0="00000000" w:usb1="00000000" w:usb2="00000000" w:usb3="00000000" w:csb0="0000019F" w:csb1="00000000"/>
  </w:font>
  <w:font w:name="Caladea">
    <w:panose1 w:val="02040503050406030204"/>
    <w:charset w:val="00"/>
    <w:family w:val="auto"/>
    <w:pitch w:val="default"/>
    <w:sig w:usb0="00000007" w:usb1="00000000" w:usb2="00000000" w:usb3="00000000" w:csb0="20000093" w:csb1="00000000"/>
  </w:font>
  <w:font w:name="ＭＳ 明朝">
    <w:altName w:val="文泉驿正黑"/>
    <w:panose1 w:val="00000000000000000000"/>
    <w:charset w:val="80"/>
    <w:family w:val="roman"/>
    <w:pitch w:val="default"/>
    <w:sig w:usb0="00000000" w:usb1="00000000" w:usb2="00000010" w:usb3="00000000" w:csb0="00020000" w:csb1="00000000"/>
  </w:font>
  <w:font w:name="Comfortaa Light">
    <w:panose1 w:val="00000400000000000000"/>
    <w:charset w:val="00"/>
    <w:family w:val="auto"/>
    <w:pitch w:val="default"/>
    <w:sig w:usb0="20000287" w:usb1="00000002" w:usb2="00000000" w:usb3="00000000" w:csb0="2000019F" w:csb1="00000000"/>
  </w:font>
  <w:font w:name="ＭＳ ゴシック">
    <w:altName w:val="文泉驿正黑"/>
    <w:panose1 w:val="00000000000000000000"/>
    <w:charset w:val="80"/>
    <w:family w:val="modern"/>
    <w:pitch w:val="default"/>
    <w:sig w:usb0="00000000" w:usb1="00000000" w:usb2="00000010" w:usb3="00000000" w:csb0="00020000" w:csb1="00000000"/>
  </w:font>
  <w:font w:name="Courier">
    <w:panose1 w:val="00000000000000000000"/>
    <w:charset w:val="00"/>
    <w:family w:val="auto"/>
    <w:pitch w:val="default"/>
    <w:sig w:usb0="000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 w:name="ＭＳ 明朝">
    <w:altName w:val="Comfortaa Light"/>
    <w:panose1 w:val="00000000000000000000"/>
    <w:charset w:val="00"/>
    <w:family w:val="auto"/>
    <w:pitch w:val="default"/>
    <w:sig w:usb0="00000000" w:usb1="00000000" w:usb2="00000000" w:usb3="00000000" w:csb0="00000000" w:csb1="00000000"/>
  </w:font>
  <w:font w:name="ＭＳ ゴシック">
    <w:altName w:val="Comfortaa Ligh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DF6BEC"/>
    <w:rsid w:val="4A4FD60C"/>
    <w:rsid w:val="4FDD4688"/>
    <w:rsid w:val="6F5B3031"/>
    <w:rsid w:val="6FF209C6"/>
    <w:rsid w:val="7DD5EF7C"/>
    <w:rsid w:val="7E5FE693"/>
    <w:rsid w:val="F3FF6C85"/>
    <w:rsid w:val="FFCDDD4F"/>
    <w:rsid w:val="FFFDBB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TotalTime>
  <ScaleCrop>false</ScaleCrop>
  <LinksUpToDate>false</LinksUpToDate>
  <CharactersWithSpaces>0</CharactersWithSpaces>
  <Application>WPS Office_12.1.0.17900_F1E327BC-269C-435d-A152-05C5408002CA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uav</cp:lastModifiedBy>
  <dcterms:modified xsi:type="dcterms:W3CDTF">2026-06-15T09:51:04Z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2052-12.1.0.17900</vt:lpwstr>
  </property>
  <property fmtid="{D5CDD505-2E9C-101B-9397-08002B2CF9AE}" pid="3" name="ICV">
    <vt:lpwstr>E4899DC7CA94BB3B5B542F6A9F12C20B_42</vt:lpwstr>
  </property>
</Properties>
</file>