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201C0"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Cover Letter</w:t>
      </w:r>
    </w:p>
    <w:p w14:paraId="2AF54402">
      <w:r>
        <w:rPr>
          <w:rFonts w:ascii="Times New Roman" w:hAnsi="Times New Roman" w:eastAsia="Times New Roman"/>
          <w:b w:val="0"/>
          <w:i w:val="0"/>
          <w:sz w:val="22"/>
        </w:rPr>
        <w:t>Dear Editor,</w:t>
      </w:r>
    </w:p>
    <w:p w14:paraId="5C81DFE3">
      <w:pPr>
        <w:spacing w:before="12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Re: Submission of the manuscript entitled </w:t>
      </w:r>
      <w:r>
        <w:rPr>
          <w:rFonts w:ascii="Times New Roman" w:hAnsi="Times New Roman" w:eastAsia="Times New Roman"/>
          <w:b w:val="0"/>
          <w:i/>
          <w:sz w:val="22"/>
        </w:rPr>
        <w:t>“Hierarchical Game-Guided Tactical Corridor Planning and Control for Competitive Autonomous Racing”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for consideration in </w:t>
      </w:r>
      <w:r>
        <w:rPr>
          <w:rFonts w:hint="eastAsia" w:ascii="Times New Roman" w:hAnsi="Times New Roman" w:eastAsia="Times New Roman"/>
          <w:b w:val="0"/>
          <w:i w:val="0"/>
          <w:sz w:val="22"/>
        </w:rPr>
        <w:t>Measurement Science and Technology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 w14:paraId="010CF4A3">
      <w:pPr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We are pleased to submit our manuscript entitled “Hierarchical Game-Guided Tactical Corridor Planning and Control for Competitive Autonomous Racing” for consideration </w:t>
      </w:r>
      <w:r>
        <w:rPr>
          <w:rFonts w:ascii="Times New Roman" w:hAnsi="Times New Roman" w:eastAsia="Times New Roman"/>
          <w:b w:val="0"/>
          <w:i w:val="0"/>
          <w:sz w:val="22"/>
          <w:highlight w:val="none"/>
        </w:rPr>
        <w:t xml:space="preserve">as a research article in </w:t>
      </w:r>
      <w:r>
        <w:rPr>
          <w:rFonts w:hint="eastAsia" w:ascii="Times New Roman" w:hAnsi="Times New Roman" w:eastAsia="Times New Roman"/>
          <w:b w:val="0"/>
          <w:i w:val="0"/>
          <w:sz w:val="22"/>
          <w:highlight w:val="none"/>
        </w:rPr>
        <w:t>Measurement Science and Technology</w:t>
      </w:r>
      <w:r>
        <w:rPr>
          <w:rFonts w:ascii="Times New Roman" w:hAnsi="Times New Roman" w:eastAsia="Times New Roman"/>
          <w:b w:val="0"/>
          <w:i w:val="0"/>
          <w:sz w:val="22"/>
          <w:highlight w:val="none"/>
        </w:rPr>
        <w:t>. The manuscript addresses high-speed wheel-to-whe</w:t>
      </w:r>
      <w:r>
        <w:rPr>
          <w:rFonts w:ascii="Times New Roman" w:hAnsi="Times New Roman" w:eastAsia="Times New Roman"/>
          <w:b w:val="0"/>
          <w:i w:val="0"/>
          <w:sz w:val="22"/>
        </w:rPr>
        <w:t>el autonomous racing, where tactical interaction, local trajectory feasibility, and near-limit vehicle control must be coordinated within a short decision window.</w:t>
      </w:r>
    </w:p>
    <w:p w14:paraId="480AD460">
      <w:pPr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The main contribution of this work is a hierarchical game-guided tactical corridor planning and control framework. A Stackelberg-iterative-best-response tactical game is used to model interactive overtaking, and a game-guided Truncated Quantile Critics policy amortizes the repeated game solution. Rather than directly outputting low-level steering or throttle commands, the learned tactical layer generates behavior modes, overtaking-side decisions, speed caps, and time-varying Frenet corridors that are then processed by deterministic downstream modules.</w:t>
      </w:r>
    </w:p>
    <w:p w14:paraId="26B7E898">
      <w:pPr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Within the published tactical corridor, the proposed framework combines sparse second-order cone programming for curvature-regularized path generation, a forward-backward speed profiler constrained by the GGV handling envelope, and model predictive contouring control for closed-loop tracking. This design separates tactical feasible-set synthesis from model-based planning and control, thereby improving both interpretability and closed-loop executability.</w:t>
      </w:r>
    </w:p>
    <w:p w14:paraId="167F62AB">
      <w:pPr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The effectiveness of the proposed method is validated in the high-fidelity Abu Dhabi Autonomous Racing League (A2RL) simulator. Across 1000 closed-loop evaluation laps, the proposed method achieves a 94.7% overtaking success rate with no observed collisions or track-boundary violations. Comparative and ablation studies further show that the game-guided policy structure, hysteretic mode persistence, learned corridor parameters, and distributional TQC training each contribute to the reported safety and performance advantages over rule-based, non-interactive MPC, and game-theoretic baselines.</w:t>
      </w:r>
    </w:p>
    <w:p w14:paraId="067EE77C">
      <w:pPr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We believe this manuscript will be of interest to readers working on autonomous racing, interactive motion planning, reinforcement learning for decision-making, model predictive control, and safety-aware autonomous vehicle systems. The proposed approach provides a practical interface between learned tactical reasoning and opti</w:t>
      </w:r>
      <w:bookmarkStart w:id="0" w:name="_GoBack"/>
      <w:bookmarkEnd w:id="0"/>
      <w:r>
        <w:rPr>
          <w:rFonts w:ascii="Times New Roman" w:hAnsi="Times New Roman" w:eastAsia="Times New Roman"/>
          <w:b w:val="0"/>
          <w:i w:val="0"/>
          <w:sz w:val="22"/>
        </w:rPr>
        <w:t>mization-based planning and control, which is relevant to both high-speed racing platforms and broader autonomous vehicle applications requiring real-time competitive interaction.</w:t>
      </w:r>
    </w:p>
    <w:p w14:paraId="647D918C">
      <w:pPr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We confirm that this manuscript is original, has not been published previously, and is not currently under consideration</w:t>
      </w:r>
      <w:r>
        <w:rPr>
          <w:rFonts w:ascii="Times New Roman" w:hAnsi="Times New Roman" w:eastAsia="Times New Roman"/>
          <w:b w:val="0"/>
          <w:i w:val="0"/>
          <w:sz w:val="22"/>
          <w:highlight w:val="none"/>
        </w:rPr>
        <w:t xml:space="preserve"> for publication elsewhere. All authors have approved the manuscript and agree with its submission to </w:t>
      </w:r>
      <w:r>
        <w:rPr>
          <w:rFonts w:hint="eastAsia" w:ascii="Times New Roman" w:hAnsi="Times New Roman" w:eastAsia="Times New Roman"/>
          <w:b w:val="0"/>
          <w:i w:val="0"/>
          <w:sz w:val="22"/>
          <w:highlight w:val="none"/>
        </w:rPr>
        <w:t>Measurement Science and Technology</w:t>
      </w:r>
      <w:r>
        <w:rPr>
          <w:rFonts w:ascii="Times New Roman" w:hAnsi="Times New Roman" w:eastAsia="Times New Roman"/>
          <w:b w:val="0"/>
          <w:i w:val="0"/>
          <w:sz w:val="22"/>
          <w:highlight w:val="none"/>
        </w:rPr>
        <w:t>. We have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 conflicts of interest to declare.</w:t>
      </w:r>
    </w:p>
    <w:p w14:paraId="78C952B5">
      <w:pPr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Thank you for considering our manuscript. We look forward to your response.</w:t>
      </w:r>
    </w:p>
    <w:p w14:paraId="31545D4E">
      <w:pPr>
        <w:spacing w:before="80"/>
      </w:pPr>
      <w:r>
        <w:rPr>
          <w:rFonts w:ascii="Times New Roman" w:hAnsi="Times New Roman" w:eastAsia="Times New Roman"/>
          <w:b w:val="0"/>
          <w:i w:val="0"/>
          <w:sz w:val="22"/>
        </w:rPr>
        <w:t>Sincerely,</w:t>
      </w:r>
    </w:p>
    <w:p w14:paraId="5972D4AE">
      <w:pPr>
        <w:rPr>
          <w:highlight w:val="none"/>
        </w:rPr>
      </w:pPr>
      <w:r>
        <w:rPr>
          <w:rFonts w:hint="eastAsia" w:eastAsia="宋体"/>
          <w:b w:val="0"/>
          <w:i w:val="0"/>
          <w:sz w:val="22"/>
          <w:highlight w:val="none"/>
          <w:lang w:val="en-US" w:eastAsia="zh-CN"/>
        </w:rPr>
        <w:t>Ren Jin</w:t>
      </w:r>
      <w:r>
        <w:rPr>
          <w:rFonts w:ascii="Times New Roman" w:hAnsi="Times New Roman" w:eastAsia="Times New Roman"/>
          <w:b w:val="0"/>
          <w:i w:val="0"/>
          <w:sz w:val="22"/>
          <w:highlight w:val="none"/>
        </w:rPr>
        <w:br w:type="textWrapping"/>
      </w:r>
      <w:r>
        <w:rPr>
          <w:rFonts w:ascii="Times New Roman" w:hAnsi="Times New Roman" w:eastAsia="Times New Roman"/>
          <w:b w:val="0"/>
          <w:i w:val="0"/>
          <w:sz w:val="22"/>
          <w:highlight w:val="none"/>
        </w:rPr>
        <w:t>On behalf of all authors</w:t>
      </w:r>
      <w:r>
        <w:rPr>
          <w:rFonts w:ascii="Times New Roman" w:hAnsi="Times New Roman" w:eastAsia="Times New Roman"/>
          <w:b w:val="0"/>
          <w:i w:val="0"/>
          <w:sz w:val="22"/>
          <w:highlight w:val="none"/>
        </w:rPr>
        <w:br w:type="textWrapping"/>
      </w:r>
      <w:r>
        <w:rPr>
          <w:rFonts w:hint="eastAsia" w:ascii="Times New Roman" w:hAnsi="Times New Roman" w:eastAsia="Times New Roman"/>
          <w:b w:val="0"/>
          <w:i w:val="0"/>
          <w:sz w:val="22"/>
          <w:highlight w:val="none"/>
        </w:rPr>
        <w:t>School of Aerospace Engineering, Beijing Institute of Technology, Beijing, China</w:t>
      </w:r>
      <w:r>
        <w:rPr>
          <w:rFonts w:ascii="Times New Roman" w:hAnsi="Times New Roman" w:eastAsia="Times New Roman"/>
          <w:b w:val="0"/>
          <w:i w:val="0"/>
          <w:sz w:val="22"/>
          <w:highlight w:val="none"/>
        </w:rPr>
        <w:br w:type="textWrapping"/>
      </w:r>
      <w:r>
        <w:rPr>
          <w:rFonts w:ascii="Times New Roman" w:hAnsi="Times New Roman" w:eastAsia="Times New Roman"/>
          <w:b w:val="0"/>
          <w:i w:val="0"/>
          <w:sz w:val="22"/>
          <w:highlight w:val="none"/>
        </w:rPr>
        <w:t>Em</w:t>
      </w:r>
      <w:r>
        <w:rPr>
          <w:rFonts w:ascii="Times New Roman" w:hAnsi="Times New Roman" w:eastAsia="Times New Roman"/>
          <w:b w:val="0"/>
          <w:i w:val="0"/>
          <w:sz w:val="22"/>
          <w:highlight w:val="none"/>
        </w:rPr>
        <w:t xml:space="preserve">ail: </w:t>
      </w:r>
      <w:r>
        <w:rPr>
          <w:rFonts w:hint="eastAsia" w:ascii="Times New Roman" w:hAnsi="Times New Roman" w:eastAsia="Times New Roman"/>
          <w:b w:val="0"/>
          <w:i w:val="0"/>
          <w:sz w:val="22"/>
          <w:highlight w:val="none"/>
        </w:rPr>
        <w:t>renjin@bit.edu.cn</w:t>
      </w:r>
    </w:p>
    <w:sectPr>
      <w:pgSz w:w="12240" w:h="15840"/>
      <w:pgMar w:top="1224" w:right="1440" w:bottom="1224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正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正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Cambria">
    <w:altName w:val="Calade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ＭＳ 明朝">
    <w:altName w:val="Comfortaa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omfortaa Ligh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ＭＳ ゴシック">
    <w:altName w:val="Comfortaa Light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Couri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文泉驿正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DB14CB"/>
    <w:rsid w:val="3FF5AFE5"/>
    <w:rsid w:val="56D70BE2"/>
    <w:rsid w:val="5DAD80EB"/>
    <w:rsid w:val="7F2EDEDD"/>
    <w:rsid w:val="8FE5CC06"/>
    <w:rsid w:val="DFFF6277"/>
    <w:rsid w:val="F6FE5ED9"/>
    <w:rsid w:val="FF6E7115"/>
    <w:rsid w:val="FF737533"/>
    <w:rsid w:val="FFA50E74"/>
    <w:rsid w:val="FFFF5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59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uav</dc:creator>
  <cp:keywords>cover letter; autonomous racing; tactical corridor planning; game-guided reinforcement learning</cp:keywords>
  <cp:lastModifiedBy>uav</cp:lastModifiedBy>
  <dcterms:modified xsi:type="dcterms:W3CDTF">2026-07-06T22:51:56Z</dcterms:modified>
  <dc:subject>Cover letter for manuscript submission</dc:subject>
  <dc:title>Cover Letter - Hierarchical Game-Guided Tactical Corridor Planning and Control for Competitive Autonomous Racing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50DF40FF78508C0049C04B6A4A96BAB3_42</vt:lpwstr>
  </property>
</Properties>
</file>