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Yu Gothic" w:eastAsia="Yu Gothic" w:hAnsi="Yu Gothic"/>
          <w:b/>
          <w:bCs/>
          <w:color w:val="1F3A5F"/>
          <w:sz w:val="44"/>
          <w:szCs w:val="44"/>
        </w:rPr>
        <w:t xml:space="preserve">１か月単位の変形労働時間制</w:t>
      </w:r>
    </w:p>
    <w:p>
      <w:pPr>
        <w:pBdr>
          <w:bottom w:val="single" w:color="1F3A5F" w:sz="12" w:space="6"/>
        </w:pBdr>
        <w:spacing w:after="200"/>
      </w:pPr>
      <w:r>
        <w:rPr>
          <w:rFonts w:ascii="Yu Gothic" w:eastAsia="Yu Gothic" w:hAnsi="Yu Gothic"/>
          <w:color w:val="4A5B70"/>
          <w:sz w:val="26"/>
          <w:szCs w:val="26"/>
        </w:rPr>
        <w:t xml:space="preserve">メリット・デメリット／導入手順／注意点（労働基準法第32条の２）</w:t>
      </w:r>
    </w:p>
    <w:p>
      <w:pPr>
        <w:pStyle w:val="Heading1"/>
      </w:pPr>
      <w:r>
        <w:rPr>
          <w:rFonts w:ascii="Yu Gothic" w:eastAsia="Yu Gothic" w:hAnsi="Yu Gothic"/>
        </w:rPr>
        <w:t xml:space="preserve">１．制度の概要</w:t>
      </w:r>
    </w:p>
    <w:p>
      <w:pPr>
        <w:spacing w:after="120" w:line="320"/>
      </w:pPr>
      <w:r>
        <w:rPr>
          <w:rFonts w:ascii="Yu Gothic" w:eastAsia="Yu Gothic" w:hAnsi="Yu Gothic"/>
        </w:rPr>
        <w:t xml:space="preserve">１か月単位の変形労働時間制とは、１か月以内の期間を平均して、１週間当たりの労働時間が40時間（特例措置対象事業場は44時間）以内となるように、労働日および労働日ごとの労働時間をあらかじめ設定することで、特定の日に８時間、特定の週に40時間（特例措置対象事業場は44時間）を超えて労働させることを可能にする制度です。</w:t>
      </w:r>
    </w:p>
    <w:p>
      <w:pPr>
        <w:spacing w:after="120" w:line="320"/>
      </w:pPr>
      <w:r>
        <w:rPr>
          <w:rFonts w:ascii="Yu Gothic" w:eastAsia="Yu Gothic" w:hAnsi="Yu Gothic"/>
        </w:rPr>
        <w:t xml:space="preserve">月初や月末に業務が集中する業種、シフト勤務の業種（医療・介護、運輸、小売、サービス業など）で広く活用されています。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A6B4C5" w:sz="4"/>
              <w:left w:val="single" w:color="1F3A5F" w:sz="24"/>
              <w:bottom w:val="single" w:color="A6B4C5" w:sz="4"/>
              <w:right w:val="single" w:color="A6B4C5" w:sz="4"/>
            </w:tcBorders>
            <w:shd w:fill="F4F7FA" w:color="auto" w:val="clear"/>
            <w:tcMar>
              <w:top w:type="dxa" w:w="120"/>
              <w:left w:type="dxa" w:w="200"/>
              <w:bottom w:type="dxa" w:w="120"/>
              <w:right w:type="dxa" w:w="160"/>
            </w:tcMar>
          </w:tcPr>
          <w:p>
            <w:pPr>
              <w:spacing w:after="60"/>
            </w:pPr>
            <w:r>
              <w:rPr>
                <w:rFonts w:ascii="Yu Gothic" w:eastAsia="Yu Gothic" w:hAnsi="Yu Gothic"/>
                <w:b/>
                <w:bCs/>
                <w:color w:val="1F3A5F"/>
              </w:rPr>
              <w:t xml:space="preserve">特例措置対象事業場とは</w:t>
            </w:r>
          </w:p>
          <w:p>
            <w:pPr>
              <w:spacing w:after="40" w:line="300"/>
            </w:pPr>
            <w:r>
              <w:rPr>
                <w:rFonts w:ascii="Yu Gothic" w:eastAsia="Yu Gothic" w:hAnsi="Yu Gothic"/>
                <w:sz w:val="21"/>
                <w:szCs w:val="21"/>
              </w:rPr>
              <w:t xml:space="preserve">常時使用する労働者数が10人未満の、商業、映画・演劇業（映画の製作の事業を除く）、保健衛生業、接客娯楽業の事業場で、週の法定労働時間が44時間となります。</w:t>
            </w:r>
          </w:p>
        </w:tc>
      </w:tr>
    </w:tbl>
    <w:p>
      <w:pPr>
        <w:spacing w:after="120"/>
      </w:pPr>
    </w:p>
    <w:p>
      <w:pPr>
        <w:pStyle w:val="Heading2"/>
      </w:pPr>
      <w:r>
        <w:rPr>
          <w:rFonts w:ascii="Yu Gothic" w:eastAsia="Yu Gothic" w:hAnsi="Yu Gothic"/>
        </w:rPr>
        <w:t xml:space="preserve">対象期間の労働時間の上限（総枠）</w:t>
      </w:r>
    </w:p>
    <w:p>
      <w:pPr>
        <w:spacing w:after="120" w:line="320"/>
      </w:pPr>
      <w:r>
        <w:rPr>
          <w:rFonts w:ascii="Yu Gothic" w:eastAsia="Yu Gothic" w:hAnsi="Yu Gothic"/>
        </w:rPr>
        <w:t xml:space="preserve">対象期間を平均して週の法定労働時間を超えないためには、対象期間の総労働時間を次の式で計算した上限時間以下にする必要があります。</w:t>
      </w:r>
    </w:p>
    <w:p>
      <w:pPr>
        <w:spacing w:after="160" w:before="60"/>
        <w:jc w:val="center"/>
      </w:pPr>
      <w:r>
        <w:rPr>
          <w:rFonts w:ascii="Yu Gothic" w:eastAsia="Yu Gothic" w:hAnsi="Yu Gothic"/>
          <w:b/>
          <w:bCs/>
          <w:color w:val="1F3A5F"/>
        </w:rPr>
        <w:t xml:space="preserve">上限時間 ＝ 週の法定労働時間（40時間／44時間）× 対象期間の暦日数 ÷ ７</w:t>
      </w:r>
    </w:p>
    <w:p>
      <w:pPr>
        <w:keepNext/>
        <w:spacing w:after="120" w:line="320"/>
      </w:pPr>
      <w:r>
        <w:rPr>
          <w:rFonts w:ascii="Yu Gothic" w:eastAsia="Yu Gothic" w:hAnsi="Yu Gothic"/>
        </w:rPr>
        <w:t xml:space="preserve">対象期間が１か月の場合の上限時間（単位：時間）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8"/>
        <w:gridCol w:w="1750"/>
        <w:gridCol w:w="1750"/>
        <w:gridCol w:w="1750"/>
        <w:gridCol w:w="1750"/>
      </w:tblGrid>
      <w:tr>
        <w:trPr>
          <w:tblHeader/>
        </w:trPr>
        <w:tc>
          <w:tcPr>
            <w:tcW w:type="dxa" w:w="2638"/>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center"/>
            </w:pPr>
            <w:r>
              <w:rPr>
                <w:rFonts w:ascii="Yu Gothic" w:eastAsia="Yu Gothic" w:hAnsi="Yu Gothic"/>
                <w:b/>
                <w:bCs/>
                <w:color w:val="FFFFFF"/>
                <w:sz w:val="21"/>
                <w:szCs w:val="21"/>
              </w:rPr>
              <w:t xml:space="preserve">週の法定労働時間</w:t>
            </w:r>
          </w:p>
        </w:tc>
        <w:tc>
          <w:tcPr>
            <w:tcW w:type="dxa" w:w="1750"/>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center"/>
            </w:pPr>
            <w:r>
              <w:rPr>
                <w:rFonts w:ascii="Yu Gothic" w:eastAsia="Yu Gothic" w:hAnsi="Yu Gothic"/>
                <w:b/>
                <w:bCs/>
                <w:color w:val="FFFFFF"/>
                <w:sz w:val="21"/>
                <w:szCs w:val="21"/>
              </w:rPr>
              <w:t xml:space="preserve">28日</w:t>
            </w:r>
          </w:p>
        </w:tc>
        <w:tc>
          <w:tcPr>
            <w:tcW w:type="dxa" w:w="1750"/>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center"/>
            </w:pPr>
            <w:r>
              <w:rPr>
                <w:rFonts w:ascii="Yu Gothic" w:eastAsia="Yu Gothic" w:hAnsi="Yu Gothic"/>
                <w:b/>
                <w:bCs/>
                <w:color w:val="FFFFFF"/>
                <w:sz w:val="21"/>
                <w:szCs w:val="21"/>
              </w:rPr>
              <w:t xml:space="preserve">29日</w:t>
            </w:r>
          </w:p>
        </w:tc>
        <w:tc>
          <w:tcPr>
            <w:tcW w:type="dxa" w:w="1750"/>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center"/>
            </w:pPr>
            <w:r>
              <w:rPr>
                <w:rFonts w:ascii="Yu Gothic" w:eastAsia="Yu Gothic" w:hAnsi="Yu Gothic"/>
                <w:b/>
                <w:bCs/>
                <w:color w:val="FFFFFF"/>
                <w:sz w:val="21"/>
                <w:szCs w:val="21"/>
              </w:rPr>
              <w:t xml:space="preserve">30日</w:t>
            </w:r>
          </w:p>
        </w:tc>
        <w:tc>
          <w:tcPr>
            <w:tcW w:type="dxa" w:w="1750"/>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center"/>
            </w:pPr>
            <w:r>
              <w:rPr>
                <w:rFonts w:ascii="Yu Gothic" w:eastAsia="Yu Gothic" w:hAnsi="Yu Gothic"/>
                <w:b/>
                <w:bCs/>
                <w:color w:val="FFFFFF"/>
                <w:sz w:val="21"/>
                <w:szCs w:val="21"/>
              </w:rPr>
              <w:t xml:space="preserve">31日</w:t>
            </w:r>
          </w:p>
        </w:tc>
      </w:tr>
      <w:tr>
        <w:trPr>
          <w:cantSplit/>
        </w:trPr>
        <w:tc>
          <w:tcPr>
            <w:tcW w:type="dxa" w:w="2638"/>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40時間</w:t>
            </w:r>
          </w:p>
        </w:tc>
        <w:tc>
          <w:tcPr>
            <w:tcW w:type="dxa" w:w="175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b w:val="false"/>
                <w:bCs w:val="false"/>
                <w:sz w:val="21"/>
                <w:szCs w:val="21"/>
              </w:rPr>
              <w:t xml:space="preserve">160.0</w:t>
            </w:r>
          </w:p>
        </w:tc>
        <w:tc>
          <w:tcPr>
            <w:tcW w:type="dxa" w:w="175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b w:val="false"/>
                <w:bCs w:val="false"/>
                <w:sz w:val="21"/>
                <w:szCs w:val="21"/>
              </w:rPr>
              <w:t xml:space="preserve">165.7</w:t>
            </w:r>
          </w:p>
        </w:tc>
        <w:tc>
          <w:tcPr>
            <w:tcW w:type="dxa" w:w="175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b w:val="false"/>
                <w:bCs w:val="false"/>
                <w:sz w:val="21"/>
                <w:szCs w:val="21"/>
              </w:rPr>
              <w:t xml:space="preserve">171.4</w:t>
            </w:r>
          </w:p>
        </w:tc>
        <w:tc>
          <w:tcPr>
            <w:tcW w:type="dxa" w:w="175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b w:val="false"/>
                <w:bCs w:val="false"/>
                <w:sz w:val="21"/>
                <w:szCs w:val="21"/>
              </w:rPr>
              <w:t xml:space="preserve">177.1</w:t>
            </w:r>
          </w:p>
        </w:tc>
      </w:tr>
      <w:tr>
        <w:trPr>
          <w:cantSplit/>
        </w:trPr>
        <w:tc>
          <w:tcPr>
            <w:tcW w:type="dxa" w:w="2638"/>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44時間（特例措置対象事業場）</w:t>
            </w:r>
          </w:p>
        </w:tc>
        <w:tc>
          <w:tcPr>
            <w:tcW w:type="dxa" w:w="175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b w:val="false"/>
                <w:bCs w:val="false"/>
                <w:sz w:val="21"/>
                <w:szCs w:val="21"/>
              </w:rPr>
              <w:t xml:space="preserve">176.0</w:t>
            </w:r>
          </w:p>
        </w:tc>
        <w:tc>
          <w:tcPr>
            <w:tcW w:type="dxa" w:w="175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b w:val="false"/>
                <w:bCs w:val="false"/>
                <w:sz w:val="21"/>
                <w:szCs w:val="21"/>
              </w:rPr>
              <w:t xml:space="preserve">182.2</w:t>
            </w:r>
          </w:p>
        </w:tc>
        <w:tc>
          <w:tcPr>
            <w:tcW w:type="dxa" w:w="175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b w:val="false"/>
                <w:bCs w:val="false"/>
                <w:sz w:val="21"/>
                <w:szCs w:val="21"/>
              </w:rPr>
              <w:t xml:space="preserve">188.5</w:t>
            </w:r>
          </w:p>
        </w:tc>
        <w:tc>
          <w:tcPr>
            <w:tcW w:type="dxa" w:w="175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b w:val="false"/>
                <w:bCs w:val="false"/>
                <w:sz w:val="21"/>
                <w:szCs w:val="21"/>
              </w:rPr>
              <w:t xml:space="preserve">194.8</w:t>
            </w:r>
          </w:p>
        </w:tc>
      </w:tr>
    </w:tbl>
    <w:p>
      <w:pPr>
        <w:spacing w:after="120"/>
      </w:pPr>
    </w:p>
    <w:p>
      <w:pPr>
        <w:pStyle w:val="Heading1"/>
      </w:pPr>
      <w:r>
        <w:rPr>
          <w:rFonts w:ascii="Yu Gothic" w:eastAsia="Yu Gothic" w:hAnsi="Yu Gothic"/>
        </w:rPr>
        <w:t xml:space="preserve">２．メリット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left"/>
            </w:pPr>
            <w:r>
              <w:rPr>
                <w:rFonts w:ascii="Yu Gothic" w:eastAsia="Yu Gothic" w:hAnsi="Yu Gothic"/>
                <w:b/>
                <w:bCs/>
                <w:color w:val="FFFFFF"/>
                <w:sz w:val="21"/>
                <w:szCs w:val="21"/>
              </w:rPr>
              <w:t xml:space="preserve">メリット</w:t>
            </w:r>
          </w:p>
        </w:tc>
        <w:tc>
          <w:tcPr>
            <w:tcW w:type="dxa" w:w="7238"/>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left"/>
            </w:pPr>
            <w:r>
              <w:rPr>
                <w:rFonts w:ascii="Yu Gothic" w:eastAsia="Yu Gothic" w:hAnsi="Yu Gothic"/>
                <w:b/>
                <w:bCs/>
                <w:color w:val="FFFFFF"/>
                <w:sz w:val="21"/>
                <w:szCs w:val="21"/>
              </w:rPr>
              <w:t xml:space="preserve">内容</w:t>
            </w:r>
          </w:p>
        </w:tc>
      </w:tr>
      <w:tr>
        <w:trPr>
          <w:cantSplit/>
        </w:trPr>
        <w:tc>
          <w:tcPr>
            <w:tcW w:type="dxa" w:w="24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業務の繁閑に合わせた労働時間の配分</w:t>
            </w:r>
          </w:p>
        </w:tc>
        <w:tc>
          <w:tcPr>
            <w:tcW w:type="dxa" w:w="72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月初・月末や特定の曜日など忙しい日の所定労働時間を長く、閑散日を短く（または休日に）設定でき、無駄な待機時間を減らせます。</w:t>
            </w:r>
          </w:p>
        </w:tc>
      </w:tr>
      <w:tr>
        <w:trPr>
          <w:cantSplit/>
        </w:trPr>
        <w:tc>
          <w:tcPr>
            <w:tcW w:type="dxa" w:w="24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時間外労働（残業）の削減</w:t>
            </w:r>
          </w:p>
        </w:tc>
        <w:tc>
          <w:tcPr>
            <w:tcW w:type="dxa" w:w="72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繁忙日に８時間を超えて所定労働時間を設定しても、その時間は所定内であり、割増賃金の対象となる時間外労働になりません。月全体の総枠内に収まれば残業代を抑制できます。</w:t>
            </w:r>
          </w:p>
        </w:tc>
      </w:tr>
      <w:tr>
        <w:trPr>
          <w:cantSplit/>
        </w:trPr>
        <w:tc>
          <w:tcPr>
            <w:tcW w:type="dxa" w:w="24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人件費の適正化・効率化</w:t>
            </w:r>
          </w:p>
        </w:tc>
        <w:tc>
          <w:tcPr>
            <w:tcW w:type="dxa" w:w="72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閑散日の労働時間を短縮することで、業務量に見合った人員・コスト配分が可能になります。</w:t>
            </w:r>
          </w:p>
        </w:tc>
      </w:tr>
      <w:tr>
        <w:trPr>
          <w:cantSplit/>
        </w:trPr>
        <w:tc>
          <w:tcPr>
            <w:tcW w:type="dxa" w:w="24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シフト制・変則勤務への対応</w:t>
            </w:r>
          </w:p>
        </w:tc>
        <w:tc>
          <w:tcPr>
            <w:tcW w:type="dxa" w:w="72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早番・遅番・夜勤など１日８時間に収まらない勤務パターンや、24時間稼働の事業場でも、法定労働時間の枠内で適法に運用できます。</w:t>
            </w:r>
          </w:p>
        </w:tc>
      </w:tr>
      <w:tr>
        <w:trPr>
          <w:cantSplit/>
        </w:trPr>
        <w:tc>
          <w:tcPr>
            <w:tcW w:type="dxa" w:w="24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比較的導入しやすい</w:t>
            </w:r>
          </w:p>
        </w:tc>
        <w:tc>
          <w:tcPr>
            <w:tcW w:type="dxa" w:w="72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１年単位の変形労働時間制と比べて対象期間が短く、要件や運用の負担が軽いのが特徴です。就業規則（常時10人以上の事業場）または労使協定で導入できます。</w:t>
            </w:r>
          </w:p>
        </w:tc>
      </w:tr>
      <w:tr>
        <w:trPr>
          <w:cantSplit/>
        </w:trPr>
        <w:tc>
          <w:tcPr>
            <w:tcW w:type="dxa" w:w="24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労働者の休日・休暇の確保</w:t>
            </w:r>
          </w:p>
        </w:tc>
        <w:tc>
          <w:tcPr>
            <w:tcW w:type="dxa" w:w="72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繁忙期の長時間労働の代わりに、閑散期に短時間勤務や休日を設定しやすく、メリハリのある働き方につなげられます。</w:t>
            </w:r>
          </w:p>
        </w:tc>
      </w:tr>
    </w:tbl>
    <w:p>
      <w:pPr>
        <w:spacing w:after="120"/>
      </w:pPr>
    </w:p>
    <w:p>
      <w:pPr>
        <w:pStyle w:val="Heading1"/>
      </w:pPr>
      <w:r>
        <w:rPr>
          <w:rFonts w:ascii="Yu Gothic" w:eastAsia="Yu Gothic" w:hAnsi="Yu Gothic"/>
        </w:rPr>
        <w:t xml:space="preserve">３．デメリット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left"/>
            </w:pPr>
            <w:r>
              <w:rPr>
                <w:rFonts w:ascii="Yu Gothic" w:eastAsia="Yu Gothic" w:hAnsi="Yu Gothic"/>
                <w:b/>
                <w:bCs/>
                <w:color w:val="FFFFFF"/>
                <w:sz w:val="21"/>
                <w:szCs w:val="21"/>
              </w:rPr>
              <w:t xml:space="preserve">デメリット</w:t>
            </w:r>
          </w:p>
        </w:tc>
        <w:tc>
          <w:tcPr>
            <w:tcW w:type="dxa" w:w="7238"/>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left"/>
            </w:pPr>
            <w:r>
              <w:rPr>
                <w:rFonts w:ascii="Yu Gothic" w:eastAsia="Yu Gothic" w:hAnsi="Yu Gothic"/>
                <w:b/>
                <w:bCs/>
                <w:color w:val="FFFFFF"/>
                <w:sz w:val="21"/>
                <w:szCs w:val="21"/>
              </w:rPr>
              <w:t xml:space="preserve">内容</w:t>
            </w:r>
          </w:p>
        </w:tc>
      </w:tr>
      <w:tr>
        <w:trPr>
          <w:cantSplit/>
        </w:trPr>
        <w:tc>
          <w:tcPr>
            <w:tcW w:type="dxa" w:w="24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事前にすべての勤務を特定する必要がある</w:t>
            </w:r>
          </w:p>
        </w:tc>
        <w:tc>
          <w:tcPr>
            <w:tcW w:type="dxa" w:w="72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対象期間のすべての労働日と労働日ごとの労働時間を、期間の開始前にシフト表や会社カレンダーで具体的に定めなければなりません。直前まで業務量が読めない業態では運用が難しくなります。</w:t>
            </w:r>
          </w:p>
        </w:tc>
      </w:tr>
      <w:tr>
        <w:trPr>
          <w:cantSplit/>
        </w:trPr>
        <w:tc>
          <w:tcPr>
            <w:tcW w:type="dxa" w:w="24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任意に変更できない</w:t>
            </w:r>
          </w:p>
        </w:tc>
        <w:tc>
          <w:tcPr>
            <w:tcW w:type="dxa" w:w="72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一度特定した労働日・労働時間は、使用者が任意に変更できません。急な繁忙や欠員に対して柔軟に対応しにくい点が最大の制約です。</w:t>
            </w:r>
          </w:p>
        </w:tc>
      </w:tr>
      <w:tr>
        <w:trPr>
          <w:cantSplit/>
        </w:trPr>
        <w:tc>
          <w:tcPr>
            <w:tcW w:type="dxa" w:w="24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勤怠管理・賃金計算が複雑</w:t>
            </w:r>
          </w:p>
        </w:tc>
        <w:tc>
          <w:tcPr>
            <w:tcW w:type="dxa" w:w="72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時間外労働の判定が「日」「週」「対象期間の総枠」の３段階になり、給与計算システムの設定や担当者の理解が必要です。計算ミスは未払残業代のリスクにつながります。</w:t>
            </w:r>
          </w:p>
        </w:tc>
      </w:tr>
      <w:tr>
        <w:trPr>
          <w:cantSplit/>
        </w:trPr>
        <w:tc>
          <w:tcPr>
            <w:tcW w:type="dxa" w:w="24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シフト作成の事務負担</w:t>
            </w:r>
          </w:p>
        </w:tc>
        <w:tc>
          <w:tcPr>
            <w:tcW w:type="dxa" w:w="72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総枠（月の上限時間）、休日、休憩、週ごとの時間などを確認しながら毎月シフトを作成するため、管理者の負担が増えます。</w:t>
            </w:r>
          </w:p>
        </w:tc>
      </w:tr>
      <w:tr>
        <w:trPr>
          <w:cantSplit/>
        </w:trPr>
        <w:tc>
          <w:tcPr>
            <w:tcW w:type="dxa" w:w="24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労働者の生活設計・健康への影響</w:t>
            </w:r>
          </w:p>
        </w:tc>
        <w:tc>
          <w:tcPr>
            <w:tcW w:type="dxa" w:w="72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日によって労働時間が長くなるため、疲労の蓄積や育児・介護などとの両立が難しくなる場合があります。勤務時間の不規則化による不満・離職にも注意が必要です。</w:t>
            </w:r>
          </w:p>
        </w:tc>
      </w:tr>
      <w:tr>
        <w:trPr>
          <w:cantSplit/>
        </w:trPr>
        <w:tc>
          <w:tcPr>
            <w:tcW w:type="dxa" w:w="24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適用できない労働者がいる</w:t>
            </w:r>
          </w:p>
        </w:tc>
        <w:tc>
          <w:tcPr>
            <w:tcW w:type="dxa" w:w="72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年少者や、請求した妊産婦には適用できません（詳細は「５．注意点」参照）。</w:t>
            </w:r>
          </w:p>
        </w:tc>
      </w:tr>
      <w:tr>
        <w:trPr>
          <w:cantSplit/>
        </w:trPr>
        <w:tc>
          <w:tcPr>
            <w:tcW w:type="dxa" w:w="24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ルール違反時のリスクが大きい</w:t>
            </w:r>
          </w:p>
        </w:tc>
        <w:tc>
          <w:tcPr>
            <w:tcW w:type="dxa" w:w="72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定めた手続・特定が不十分な場合、変形労働時間制そのものが無効とされ、原則どおり１日８時間・週40時間を超えた分がすべて時間外労働となり、多額の割増賃金を請求されるおそれがあります。</w:t>
            </w:r>
          </w:p>
        </w:tc>
      </w:tr>
    </w:tbl>
    <w:p>
      <w:pPr>
        <w:spacing w:after="120"/>
      </w:pPr>
    </w:p>
    <w:p>
      <w:pPr>
        <w:pStyle w:val="Heading1"/>
      </w:pPr>
      <w:r>
        <w:rPr>
          <w:rFonts w:ascii="Yu Gothic" w:eastAsia="Yu Gothic" w:hAnsi="Yu Gothic"/>
        </w:rPr>
        <w:t xml:space="preserve">４．導入手順</w:t>
      </w:r>
    </w:p>
    <w:p>
      <w:pPr>
        <w:spacing w:after="120" w:line="320"/>
      </w:pPr>
      <w:r>
        <w:rPr>
          <w:rFonts w:ascii="Yu Gothic" w:eastAsia="Yu Gothic" w:hAnsi="Yu Gothic"/>
        </w:rPr>
        <w:t xml:space="preserve">労使協定または就業規則（常時10人以上の労働者を使用する事業場は、就業規則の作成・届出が必要）で、次の事項を定めます。締結した労使協定や作成・変更した就業規則は、所轄の労働基準監督署に届け出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600"/>
        <w:gridCol w:w="5938"/>
      </w:tblGrid>
      <w:tr>
        <w:trPr>
          <w:tblHeader/>
        </w:trPr>
        <w:tc>
          <w:tcPr>
            <w:tcW w:type="dxa" w:w="1100"/>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left"/>
            </w:pPr>
            <w:r>
              <w:rPr>
                <w:rFonts w:ascii="Yu Gothic" w:eastAsia="Yu Gothic" w:hAnsi="Yu Gothic"/>
                <w:b/>
                <w:bCs/>
                <w:color w:val="FFFFFF"/>
                <w:sz w:val="21"/>
                <w:szCs w:val="21"/>
              </w:rPr>
              <w:t xml:space="preserve">手順</w:t>
            </w:r>
          </w:p>
        </w:tc>
        <w:tc>
          <w:tcPr>
            <w:tcW w:type="dxa" w:w="2600"/>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left"/>
            </w:pPr>
            <w:r>
              <w:rPr>
                <w:rFonts w:ascii="Yu Gothic" w:eastAsia="Yu Gothic" w:hAnsi="Yu Gothic"/>
                <w:b/>
                <w:bCs/>
                <w:color w:val="FFFFFF"/>
                <w:sz w:val="21"/>
                <w:szCs w:val="21"/>
              </w:rPr>
              <w:t xml:space="preserve">内容</w:t>
            </w:r>
          </w:p>
        </w:tc>
        <w:tc>
          <w:tcPr>
            <w:tcW w:type="dxa" w:w="5938"/>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left"/>
            </w:pPr>
            <w:r>
              <w:rPr>
                <w:rFonts w:ascii="Yu Gothic" w:eastAsia="Yu Gothic" w:hAnsi="Yu Gothic"/>
                <w:b/>
                <w:bCs/>
                <w:color w:val="FFFFFF"/>
                <w:sz w:val="21"/>
                <w:szCs w:val="21"/>
              </w:rPr>
              <w:t xml:space="preserve">実務のポイント</w:t>
            </w:r>
          </w:p>
        </w:tc>
      </w:tr>
      <w:tr>
        <w:trPr>
          <w:cantSplit/>
        </w:trPr>
        <w:tc>
          <w:tcPr>
            <w:tcW w:type="dxa" w:w="11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STEP１</w:t>
            </w:r>
          </w:p>
        </w:tc>
        <w:tc>
          <w:tcPr>
            <w:tcW w:type="dxa" w:w="26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現状分析と導入可否の検討</w:t>
            </w:r>
          </w:p>
        </w:tc>
        <w:tc>
          <w:tcPr>
            <w:tcW w:type="dxa" w:w="5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業務の繁閑のパターン、現在の残業時間、シフトの実態を把握し、制度導入の目的と効果を整理します。対象部署・職種を絞って検討します。</w:t>
            </w:r>
          </w:p>
        </w:tc>
      </w:tr>
      <w:tr>
        <w:trPr>
          <w:cantSplit/>
        </w:trPr>
        <w:tc>
          <w:tcPr>
            <w:tcW w:type="dxa" w:w="11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STEP２</w:t>
            </w:r>
          </w:p>
        </w:tc>
        <w:tc>
          <w:tcPr>
            <w:tcW w:type="dxa" w:w="26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制度設計（定める事項の決定）</w:t>
            </w:r>
          </w:p>
        </w:tc>
        <w:tc>
          <w:tcPr>
            <w:tcW w:type="dxa" w:w="5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下記「定めるべき事項」①〜④を決定します。対象期間（１か月以内）と起算日、所定労働日・時間のパターン、週の起算日などを具体化します。</w:t>
            </w:r>
          </w:p>
        </w:tc>
      </w:tr>
      <w:tr>
        <w:trPr>
          <w:cantSplit/>
        </w:trPr>
        <w:tc>
          <w:tcPr>
            <w:tcW w:type="dxa" w:w="11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STEP３</w:t>
            </w:r>
          </w:p>
        </w:tc>
        <w:tc>
          <w:tcPr>
            <w:tcW w:type="dxa" w:w="26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労働者への説明・意見聴取</w:t>
            </w:r>
          </w:p>
        </w:tc>
        <w:tc>
          <w:tcPr>
            <w:tcW w:type="dxa" w:w="5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対象労働者に制度の趣旨・内容・賃金への影響を説明し、理解を得ます。労使協定方式の場合は、過半数組合または過半数代表者との協議を行います。</w:t>
            </w:r>
          </w:p>
        </w:tc>
      </w:tr>
      <w:tr>
        <w:trPr>
          <w:cantSplit/>
        </w:trPr>
        <w:tc>
          <w:tcPr>
            <w:tcW w:type="dxa" w:w="11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STEP４</w:t>
            </w:r>
          </w:p>
        </w:tc>
        <w:tc>
          <w:tcPr>
            <w:tcW w:type="dxa" w:w="26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労使協定の締結／就業規則の作成・変更</w:t>
            </w:r>
          </w:p>
        </w:tc>
        <w:tc>
          <w:tcPr>
            <w:tcW w:type="dxa" w:w="5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労使協定を締結する、または就業規則に定めます。就業規則を変更する場合は、過半数組合または過半数代表者の意見を聴き、意見書を添付します。</w:t>
            </w:r>
          </w:p>
        </w:tc>
      </w:tr>
      <w:tr>
        <w:trPr>
          <w:cantSplit/>
        </w:trPr>
        <w:tc>
          <w:tcPr>
            <w:tcW w:type="dxa" w:w="11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STEP５</w:t>
            </w:r>
          </w:p>
        </w:tc>
        <w:tc>
          <w:tcPr>
            <w:tcW w:type="dxa" w:w="26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労働基準監督署への届出</w:t>
            </w:r>
          </w:p>
        </w:tc>
        <w:tc>
          <w:tcPr>
            <w:tcW w:type="dxa" w:w="5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労使協定を締結した場合は「１か月単位の変形労働時間制に関する協定届」（様式第３号の２）、就業規則を作成・変更した場合は就業規則（変更）届を、所轄の労働基準監督署に届け出ます。</w:t>
            </w:r>
          </w:p>
        </w:tc>
      </w:tr>
      <w:tr>
        <w:trPr>
          <w:cantSplit/>
        </w:trPr>
        <w:tc>
          <w:tcPr>
            <w:tcW w:type="dxa" w:w="11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STEP６</w:t>
            </w:r>
          </w:p>
        </w:tc>
        <w:tc>
          <w:tcPr>
            <w:tcW w:type="dxa" w:w="26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労働者への周知</w:t>
            </w:r>
          </w:p>
        </w:tc>
        <w:tc>
          <w:tcPr>
            <w:tcW w:type="dxa" w:w="5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就業規則・労使協定を、常時各作業場の見やすい場所への掲示・備え付け、書面の交付、電子データによる閲覧などの方法で周知します（労基法第106条）。</w:t>
            </w:r>
          </w:p>
        </w:tc>
      </w:tr>
      <w:tr>
        <w:trPr>
          <w:cantSplit/>
        </w:trPr>
        <w:tc>
          <w:tcPr>
            <w:tcW w:type="dxa" w:w="11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STEP７</w:t>
            </w:r>
          </w:p>
        </w:tc>
        <w:tc>
          <w:tcPr>
            <w:tcW w:type="dxa" w:w="26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勤務シフト（勤務割）の作成・通知と運用</w:t>
            </w:r>
          </w:p>
        </w:tc>
        <w:tc>
          <w:tcPr>
            <w:tcW w:type="dxa" w:w="5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対象期間の開始前に、期間内すべての労働日と労働日ごとの始業・終業時刻を特定したシフト表を作成し、労働者に通知します。その後は勤怠を記録し、総枠管理と割増賃金の計算を行います。</w:t>
            </w:r>
          </w:p>
        </w:tc>
      </w:tr>
    </w:tbl>
    <w:p>
      <w:pPr>
        <w:spacing w:after="120"/>
      </w:pPr>
    </w:p>
    <w:p>
      <w:pPr>
        <w:pStyle w:val="Heading2"/>
      </w:pPr>
      <w:r>
        <w:rPr>
          <w:rFonts w:ascii="Yu Gothic" w:eastAsia="Yu Gothic" w:hAnsi="Yu Gothic"/>
        </w:rPr>
        <w:t xml:space="preserve">労使協定または就業規則に定めるべき事項（すべて必要）</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tblHeader/>
        </w:trPr>
        <w:tc>
          <w:tcPr>
            <w:tcW w:type="dxa" w:w="2500"/>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left"/>
            </w:pPr>
            <w:r>
              <w:rPr>
                <w:rFonts w:ascii="Yu Gothic" w:eastAsia="Yu Gothic" w:hAnsi="Yu Gothic"/>
                <w:b/>
                <w:bCs/>
                <w:color w:val="FFFFFF"/>
                <w:sz w:val="21"/>
                <w:szCs w:val="21"/>
              </w:rPr>
              <w:t xml:space="preserve">定める事項</w:t>
            </w:r>
          </w:p>
        </w:tc>
        <w:tc>
          <w:tcPr>
            <w:tcW w:type="dxa" w:w="7138"/>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left"/>
            </w:pPr>
            <w:r>
              <w:rPr>
                <w:rFonts w:ascii="Yu Gothic" w:eastAsia="Yu Gothic" w:hAnsi="Yu Gothic"/>
                <w:b/>
                <w:bCs/>
                <w:color w:val="FFFFFF"/>
                <w:sz w:val="21"/>
                <w:szCs w:val="21"/>
              </w:rPr>
              <w:t xml:space="preserve">内容・留意点</w:t>
            </w:r>
          </w:p>
        </w:tc>
      </w:tr>
      <w:tr>
        <w:trPr>
          <w:cantSplit/>
        </w:trPr>
        <w:tc>
          <w:tcPr>
            <w:tcW w:type="dxa" w:w="25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① 対象労働者の範囲</w:t>
            </w:r>
          </w:p>
        </w:tc>
        <w:tc>
          <w:tcPr>
            <w:tcW w:type="dxa" w:w="71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法令上、範囲に制限はありませんが、その範囲を明確に定める必要があります。</w:t>
            </w:r>
          </w:p>
        </w:tc>
      </w:tr>
      <w:tr>
        <w:trPr>
          <w:cantSplit/>
        </w:trPr>
        <w:tc>
          <w:tcPr>
            <w:tcW w:type="dxa" w:w="25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② 対象期間および起算日</w:t>
            </w:r>
          </w:p>
        </w:tc>
        <w:tc>
          <w:tcPr>
            <w:tcW w:type="dxa" w:w="71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対象期間は１か月以内の期間に限り、起算日を具体的に定めます。（例：毎月１日を起算日とし、１か月を平均して１週間当たり40時間以内とする。）</w:t>
            </w:r>
          </w:p>
        </w:tc>
      </w:tr>
      <w:tr>
        <w:trPr>
          <w:cantSplit/>
        </w:trPr>
        <w:tc>
          <w:tcPr>
            <w:tcW w:type="dxa" w:w="25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③ 労働日および労働日ごとの労働時間</w:t>
            </w:r>
          </w:p>
        </w:tc>
        <w:tc>
          <w:tcPr>
            <w:tcW w:type="dxa" w:w="71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シフト表や会社カレンダーなどで、対象期間すべての労働日ごとの労働時間をあらかじめ具体的に定めます。対象期間を平均して週の法定労働時間（40時間／44時間）を超えないよう設定します。</w:t>
            </w:r>
          </w:p>
        </w:tc>
      </w:tr>
      <w:tr>
        <w:trPr>
          <w:cantSplit/>
        </w:trPr>
        <w:tc>
          <w:tcPr>
            <w:tcW w:type="dxa" w:w="25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b/>
                <w:bCs/>
                <w:sz w:val="21"/>
                <w:szCs w:val="21"/>
              </w:rPr>
              <w:t xml:space="preserve">④ 労使協定の有効期間</w:t>
            </w:r>
          </w:p>
        </w:tc>
        <w:tc>
          <w:tcPr>
            <w:tcW w:type="dxa" w:w="71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労使協定で定める場合、有効期間は②の対象期間より長い期間とする必要があります。適切な運用のため、３年以内程度が望ましいとされています。</w:t>
            </w:r>
          </w:p>
        </w:tc>
      </w:tr>
    </w:tbl>
    <w:p>
      <w:pPr>
        <w:spacing w:after="120"/>
      </w:pPr>
    </w:p>
    <w:p>
      <w:pPr>
        <w:pStyle w:val="Heading1"/>
      </w:pPr>
      <w:r>
        <w:rPr>
          <w:rFonts w:ascii="Yu Gothic" w:eastAsia="Yu Gothic" w:hAnsi="Yu Gothic"/>
        </w:rPr>
        <w:t xml:space="preserve">５．注意点</w:t>
      </w:r>
    </w:p>
    <w:p>
      <w:pPr>
        <w:pStyle w:val="Heading2"/>
      </w:pPr>
      <w:r>
        <w:rPr>
          <w:rFonts w:ascii="Yu Gothic" w:eastAsia="Yu Gothic" w:hAnsi="Yu Gothic"/>
        </w:rPr>
        <w:t xml:space="preserve">（１）労働日・労働時間の特定と変更の制限</w:t>
      </w:r>
    </w:p>
    <w:p>
      <w:pPr>
        <w:pStyle w:val="ListParagraph"/>
        <w:numPr>
          <w:ilvl w:val="0"/>
          <w:numId w:val="2"/>
        </w:numPr>
        <w:spacing w:after="60" w:line="300"/>
      </w:pPr>
      <w:r>
        <w:rPr>
          <w:rFonts w:ascii="Yu Gothic" w:eastAsia="Yu Gothic" w:hAnsi="Yu Gothic"/>
        </w:rPr>
        <w:t xml:space="preserve">対象期間のすべての労働日について、労働日ごとの労働時間を具体的に（始業・終業時刻まで）特定しておく必要があります。「月の総労働時間は○時間」といった定め方だけでは不十分です。</w:t>
      </w:r>
    </w:p>
    <w:p>
      <w:pPr>
        <w:pStyle w:val="ListParagraph"/>
        <w:numPr>
          <w:ilvl w:val="0"/>
          <w:numId w:val="2"/>
        </w:numPr>
        <w:spacing w:after="60" w:line="300"/>
      </w:pPr>
      <w:r>
        <w:rPr>
          <w:rFonts w:ascii="Yu Gothic" w:eastAsia="Yu Gothic" w:hAnsi="Yu Gothic"/>
        </w:rPr>
        <w:t xml:space="preserve">特定した労働日または労働日ごとの労働時間を、使用者が任意に変更することはできません。</w:t>
      </w:r>
    </w:p>
    <w:p>
      <w:pPr>
        <w:pStyle w:val="ListParagraph"/>
        <w:numPr>
          <w:ilvl w:val="0"/>
          <w:numId w:val="2"/>
        </w:numPr>
        <w:spacing w:after="60" w:line="300"/>
      </w:pPr>
      <w:r>
        <w:rPr>
          <w:rFonts w:ascii="Yu Gothic" w:eastAsia="Yu Gothic" w:hAnsi="Yu Gothic"/>
        </w:rPr>
        <w:t xml:space="preserve">就業規則に変更条項を置く場合も、「業務の都合により変更することがある」といった包括的・無制限な定めは認められません。変更できる具体的な事由を限定して定める必要があります。</w:t>
      </w:r>
    </w:p>
    <w:p>
      <w:pPr>
        <w:pStyle w:val="ListParagraph"/>
        <w:numPr>
          <w:ilvl w:val="0"/>
          <w:numId w:val="2"/>
        </w:numPr>
        <w:spacing w:after="60" w:line="300"/>
      </w:pPr>
      <w:r>
        <w:rPr>
          <w:rFonts w:ascii="Yu Gothic" w:eastAsia="Yu Gothic" w:hAnsi="Yu Gothic"/>
        </w:rPr>
        <w:t xml:space="preserve">勤務割は、対象期間の開始前までに作成して労働者に通知します。期間の途中で勤務割を作成する運用は認められません。</w:t>
      </w:r>
    </w:p>
    <w:p>
      <w:pPr>
        <w:pStyle w:val="Heading2"/>
      </w:pPr>
      <w:r>
        <w:rPr>
          <w:rFonts w:ascii="Yu Gothic" w:eastAsia="Yu Gothic" w:hAnsi="Yu Gothic"/>
        </w:rPr>
        <w:t xml:space="preserve">（２）割増賃金の支払い（時間外労働となる時間）</w:t>
      </w:r>
    </w:p>
    <w:p>
      <w:pPr>
        <w:spacing w:after="120" w:line="320"/>
      </w:pPr>
      <w:r>
        <w:rPr>
          <w:rFonts w:ascii="Yu Gothic" w:eastAsia="Yu Gothic" w:hAnsi="Yu Gothic"/>
        </w:rPr>
        <w:t xml:space="preserve">１か月単位の変形労働時間制では、次の時間が割増賃金の支払いが必要な時間外労働となります。</w:t>
      </w:r>
    </w:p>
    <w:p>
      <w:pPr>
        <w:pStyle w:val="ListParagraph"/>
        <w:numPr>
          <w:ilvl w:val="0"/>
          <w:numId w:val="2"/>
        </w:numPr>
        <w:spacing w:after="60" w:line="300"/>
      </w:pPr>
      <w:r>
        <w:rPr>
          <w:rFonts w:ascii="Yu Gothic" w:eastAsia="Yu Gothic" w:hAnsi="Yu Gothic"/>
          <w:b/>
          <w:bCs/>
        </w:rPr>
        <w:t xml:space="preserve">１日：</w:t>
      </w:r>
      <w:r>
        <w:rPr>
          <w:rFonts w:ascii="Yu Gothic" w:eastAsia="Yu Gothic" w:hAnsi="Yu Gothic"/>
        </w:rPr>
        <w:t xml:space="preserve">８時間を超える時間を定めた日はその時間、それ以外の日は８時間を超えて労働した時間</w:t>
      </w:r>
    </w:p>
    <w:p>
      <w:pPr>
        <w:pStyle w:val="ListParagraph"/>
        <w:numPr>
          <w:ilvl w:val="0"/>
          <w:numId w:val="2"/>
        </w:numPr>
        <w:spacing w:after="60" w:line="300"/>
      </w:pPr>
      <w:r>
        <w:rPr>
          <w:rFonts w:ascii="Yu Gothic" w:eastAsia="Yu Gothic" w:hAnsi="Yu Gothic"/>
          <w:b/>
          <w:bCs/>
        </w:rPr>
        <w:t xml:space="preserve">１週間：</w:t>
      </w:r>
      <w:r>
        <w:rPr>
          <w:rFonts w:ascii="Yu Gothic" w:eastAsia="Yu Gothic" w:hAnsi="Yu Gothic"/>
        </w:rPr>
        <w:t xml:space="preserve">40時間（特例措置対象事業場は44時間）を超える時間を定めた週はその時間、それ以外の週は40時間（同44時間）を超えて労働した時間（１日で時間外労働となる時間を除く）</w:t>
      </w:r>
    </w:p>
    <w:p>
      <w:pPr>
        <w:pStyle w:val="ListParagraph"/>
        <w:numPr>
          <w:ilvl w:val="0"/>
          <w:numId w:val="2"/>
        </w:numPr>
        <w:spacing w:after="60" w:line="300"/>
      </w:pPr>
      <w:r>
        <w:rPr>
          <w:rFonts w:ascii="Yu Gothic" w:eastAsia="Yu Gothic" w:hAnsi="Yu Gothic"/>
          <w:b/>
          <w:bCs/>
        </w:rPr>
        <w:t xml:space="preserve">対象期間全体：</w:t>
      </w:r>
      <w:r>
        <w:rPr>
          <w:rFonts w:ascii="Yu Gothic" w:eastAsia="Yu Gothic" w:hAnsi="Yu Gothic"/>
        </w:rPr>
        <w:t xml:space="preserve">対象期間における法定労働時間の総枠を超えて労働した時間（１日・１週間で時間外労働となる時間を除く）</w:t>
      </w:r>
    </w:p>
    <w:p>
      <w:pPr>
        <w:spacing w:after="120" w:before="80" w:line="320"/>
      </w:pPr>
      <w:r>
        <w:rPr>
          <w:rFonts w:ascii="Yu Gothic" w:eastAsia="Yu Gothic" w:hAnsi="Yu Gothic"/>
        </w:rPr>
        <w:t xml:space="preserve">時間外労働には、通常の賃金の25％以上の割増率が適用されます。また、時間外労働をさせるには、別途36協定の締結・届出が必要です。</w:t>
      </w:r>
    </w:p>
    <w:p>
      <w:pPr>
        <w:pStyle w:val="Heading2"/>
      </w:pPr>
      <w:r>
        <w:rPr>
          <w:rFonts w:ascii="Yu Gothic" w:eastAsia="Yu Gothic" w:hAnsi="Yu Gothic"/>
        </w:rPr>
        <w:t xml:space="preserve">（３）適用できない労働者・配慮が必要な労働者</w:t>
      </w:r>
    </w:p>
    <w:p>
      <w:pPr>
        <w:pStyle w:val="ListParagraph"/>
        <w:numPr>
          <w:ilvl w:val="0"/>
          <w:numId w:val="2"/>
        </w:numPr>
        <w:spacing w:after="60" w:line="300"/>
      </w:pPr>
      <w:r>
        <w:rPr>
          <w:rFonts w:ascii="Yu Gothic" w:eastAsia="Yu Gothic" w:hAnsi="Yu Gothic"/>
        </w:rPr>
        <w:t xml:space="preserve">満18歳未満の年少者には、原則として適用できません。ただし、満15歳以上満18歳未満の者（満15歳に達した日以後の最初の３月31日までの間を除く）については、１週間48時間、１日８時間を超えない範囲で採用できます。</w:t>
      </w:r>
    </w:p>
    <w:p>
      <w:pPr>
        <w:pStyle w:val="ListParagraph"/>
        <w:numPr>
          <w:ilvl w:val="0"/>
          <w:numId w:val="2"/>
        </w:numPr>
        <w:spacing w:after="60" w:line="300"/>
      </w:pPr>
      <w:r>
        <w:rPr>
          <w:rFonts w:ascii="Yu Gothic" w:eastAsia="Yu Gothic" w:hAnsi="Yu Gothic"/>
        </w:rPr>
        <w:t xml:space="preserve">妊産婦（妊娠中および産後１年を経過しない女性）が請求した場合は、適用できません。</w:t>
      </w:r>
    </w:p>
    <w:p>
      <w:pPr>
        <w:pStyle w:val="ListParagraph"/>
        <w:numPr>
          <w:ilvl w:val="0"/>
          <w:numId w:val="2"/>
        </w:numPr>
        <w:spacing w:after="60" w:line="300"/>
      </w:pPr>
      <w:r>
        <w:rPr>
          <w:rFonts w:ascii="Yu Gothic" w:eastAsia="Yu Gothic" w:hAnsi="Yu Gothic"/>
        </w:rPr>
        <w:t xml:space="preserve">育児を行う者、老人などの介護を行う者、職業訓練または教育を受ける者その他特別の配慮を要する者については、育児などに必要な時間を確保できるよう配慮しなければなりません。</w:t>
      </w:r>
    </w:p>
    <w:p>
      <w:pPr>
        <w:pStyle w:val="Heading2"/>
      </w:pPr>
      <w:r>
        <w:rPr>
          <w:rFonts w:ascii="Yu Gothic" w:eastAsia="Yu Gothic" w:hAnsi="Yu Gothic"/>
        </w:rPr>
        <w:t xml:space="preserve">（４）労使協定・届出に関する注意</w:t>
      </w:r>
    </w:p>
    <w:p>
      <w:pPr>
        <w:pStyle w:val="ListParagraph"/>
        <w:numPr>
          <w:ilvl w:val="0"/>
          <w:numId w:val="2"/>
        </w:numPr>
        <w:spacing w:after="60" w:line="300"/>
      </w:pPr>
      <w:r>
        <w:rPr>
          <w:rFonts w:ascii="Yu Gothic" w:eastAsia="Yu Gothic" w:hAnsi="Yu Gothic"/>
        </w:rPr>
        <w:t xml:space="preserve">労使協定の有効期間は対象期間より長く定める必要があります。有効期間が切れた場合は、再締結・再届出を行わないと制度が適用されません。</w:t>
      </w:r>
    </w:p>
    <w:p>
      <w:pPr>
        <w:pStyle w:val="ListParagraph"/>
        <w:numPr>
          <w:ilvl w:val="0"/>
          <w:numId w:val="2"/>
        </w:numPr>
        <w:spacing w:after="60" w:line="300"/>
      </w:pPr>
      <w:r>
        <w:rPr>
          <w:rFonts w:ascii="Yu Gothic" w:eastAsia="Yu Gothic" w:hAnsi="Yu Gothic"/>
        </w:rPr>
        <w:t xml:space="preserve">労使協定を締結しても、届出がなければ免罰効果が生じない点に注意が必要です。就業規則に定める場合も、変更届の提出を忘れないようにします。</w:t>
      </w:r>
    </w:p>
    <w:p>
      <w:pPr>
        <w:pStyle w:val="ListParagraph"/>
        <w:numPr>
          <w:ilvl w:val="0"/>
          <w:numId w:val="2"/>
        </w:numPr>
        <w:spacing w:after="60" w:line="300"/>
      </w:pPr>
      <w:r>
        <w:rPr>
          <w:rFonts w:ascii="Yu Gothic" w:eastAsia="Yu Gothic" w:hAnsi="Yu Gothic"/>
        </w:rPr>
        <w:t xml:space="preserve">常時10人以上の労働者を使用する事業場では就業規則の作成・届出が必要であり、始業・終業時刻、休憩、休日などは就業規則に定める必要があります。</w:t>
      </w:r>
    </w:p>
    <w:p>
      <w:pPr>
        <w:pStyle w:val="Heading2"/>
      </w:pPr>
      <w:r>
        <w:rPr>
          <w:rFonts w:ascii="Yu Gothic" w:eastAsia="Yu Gothic" w:hAnsi="Yu Gothic"/>
        </w:rPr>
        <w:t xml:space="preserve">（５）運用上の注意</w:t>
      </w:r>
    </w:p>
    <w:p>
      <w:pPr>
        <w:pStyle w:val="ListParagraph"/>
        <w:numPr>
          <w:ilvl w:val="0"/>
          <w:numId w:val="2"/>
        </w:numPr>
        <w:spacing w:after="60" w:line="300"/>
      </w:pPr>
      <w:r>
        <w:rPr>
          <w:rFonts w:ascii="Yu Gothic" w:eastAsia="Yu Gothic" w:hAnsi="Yu Gothic"/>
        </w:rPr>
        <w:t xml:space="preserve">週の起算日を就業規則などで明確にしておきます（定めがない場合は日曜日起算と解されます）。週の時間外判定に影響します。</w:t>
      </w:r>
    </w:p>
    <w:p>
      <w:pPr>
        <w:pStyle w:val="ListParagraph"/>
        <w:numPr>
          <w:ilvl w:val="0"/>
          <w:numId w:val="2"/>
        </w:numPr>
        <w:spacing w:after="60" w:line="300"/>
      </w:pPr>
      <w:r>
        <w:rPr>
          <w:rFonts w:ascii="Yu Gothic" w:eastAsia="Yu Gothic" w:hAnsi="Yu Gothic"/>
        </w:rPr>
        <w:t xml:space="preserve">月ごとの総枠（28日160.0時間〜31日177.1時間など）を超えないよう、シフト作成時に必ず確認します。</w:t>
      </w:r>
    </w:p>
    <w:p>
      <w:pPr>
        <w:pStyle w:val="ListParagraph"/>
        <w:numPr>
          <w:ilvl w:val="0"/>
          <w:numId w:val="2"/>
        </w:numPr>
        <w:spacing w:after="60" w:line="300"/>
      </w:pPr>
      <w:r>
        <w:rPr>
          <w:rFonts w:ascii="Yu Gothic" w:eastAsia="Yu Gothic" w:hAnsi="Yu Gothic"/>
        </w:rPr>
        <w:t xml:space="preserve">法定休日（原則として週１日、または４週４日以上）を確保したうえでシフトを組みます。休日労働には35％以上の割増賃金が必要です。</w:t>
      </w:r>
    </w:p>
    <w:p>
      <w:pPr>
        <w:pStyle w:val="ListParagraph"/>
        <w:numPr>
          <w:ilvl w:val="0"/>
          <w:numId w:val="2"/>
        </w:numPr>
        <w:spacing w:after="60" w:line="300"/>
      </w:pPr>
      <w:r>
        <w:rPr>
          <w:rFonts w:ascii="Yu Gothic" w:eastAsia="Yu Gothic" w:hAnsi="Yu Gothic"/>
        </w:rPr>
        <w:t xml:space="preserve">労働時間が６時間を超える場合は45分以上、８時間を超える場合は１時間以上の休憩を与える必要があります。</w:t>
      </w:r>
    </w:p>
    <w:p>
      <w:pPr>
        <w:pStyle w:val="ListParagraph"/>
        <w:numPr>
          <w:ilvl w:val="0"/>
          <w:numId w:val="2"/>
        </w:numPr>
        <w:spacing w:after="60" w:line="300"/>
      </w:pPr>
      <w:r>
        <w:rPr>
          <w:rFonts w:ascii="Yu Gothic" w:eastAsia="Yu Gothic" w:hAnsi="Yu Gothic"/>
        </w:rPr>
        <w:t xml:space="preserve">過重労働を避けるため、連続勤務日数や勤務間の休息時間にも配慮し、長時間労働の日が続かないシフトとします。</w:t>
      </w:r>
    </w:p>
    <w:p>
      <w:pPr>
        <w:pStyle w:val="ListParagraph"/>
        <w:numPr>
          <w:ilvl w:val="0"/>
          <w:numId w:val="2"/>
        </w:numPr>
        <w:spacing w:after="60" w:line="300"/>
      </w:pPr>
      <w:r>
        <w:rPr>
          <w:rFonts w:ascii="Yu Gothic" w:eastAsia="Yu Gothic" w:hAnsi="Yu Gothic"/>
        </w:rPr>
        <w:t xml:space="preserve">労働時間を客観的な方法（タイムカード、ICカード、PCログなど）で適正に把握・記録します。</w:t>
      </w:r>
    </w:p>
    <w:p>
      <w:pPr>
        <w:pStyle w:val="ListParagraph"/>
        <w:numPr>
          <w:ilvl w:val="0"/>
          <w:numId w:val="2"/>
        </w:numPr>
        <w:spacing w:after="60" w:line="300"/>
      </w:pPr>
      <w:r>
        <w:rPr>
          <w:rFonts w:ascii="Yu Gothic" w:eastAsia="Yu Gothic" w:hAnsi="Yu Gothic"/>
        </w:rPr>
        <w:t xml:space="preserve">年次有給休暇の取得日は、その日の所定労働時間分の賃金を支払う必要があります。シフトが日によって異なるため、休暇取得日の所定労働時間を確認します。</w:t>
      </w:r>
    </w:p>
    <w:p>
      <w:pPr>
        <w:spacing w:after="120"/>
      </w:pPr>
    </w:p>
    <w:p>
      <w:pPr>
        <w:pStyle w:val="Heading1"/>
      </w:pPr>
      <w:r>
        <w:rPr>
          <w:rFonts w:ascii="Yu Gothic" w:eastAsia="Yu Gothic" w:hAnsi="Yu Gothic"/>
        </w:rPr>
        <w:t xml:space="preserve">６．割増賃金の計算例（時給1,000円の場合）</w:t>
      </w:r>
    </w:p>
    <w:p>
      <w:pPr>
        <w:spacing w:after="120" w:line="320"/>
      </w:pPr>
      <w:r>
        <w:rPr>
          <w:rFonts w:ascii="Yu Gothic" w:eastAsia="Yu Gothic" w:hAnsi="Yu Gothic"/>
        </w:rPr>
        <w:t xml:space="preserve">厚生労働省リーフレットの例では、１か月（31日）の所定労働時間が172.0時間、法定労働時間の総枠が177.1時間です。時間外労働となる時間を判定し、賃金を次のとおり計算します。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3338"/>
        <w:gridCol w:w="2000"/>
      </w:tblGrid>
      <w:tr>
        <w:trPr>
          <w:tblHeader/>
        </w:trPr>
        <w:tc>
          <w:tcPr>
            <w:tcW w:type="dxa" w:w="4300"/>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left"/>
            </w:pPr>
            <w:r>
              <w:rPr>
                <w:rFonts w:ascii="Yu Gothic" w:eastAsia="Yu Gothic" w:hAnsi="Yu Gothic"/>
                <w:b/>
                <w:bCs/>
                <w:color w:val="FFFFFF"/>
                <w:sz w:val="21"/>
                <w:szCs w:val="21"/>
              </w:rPr>
              <w:t xml:space="preserve">区分</w:t>
            </w:r>
          </w:p>
        </w:tc>
        <w:tc>
          <w:tcPr>
            <w:tcW w:type="dxa" w:w="3338"/>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left"/>
            </w:pPr>
            <w:r>
              <w:rPr>
                <w:rFonts w:ascii="Yu Gothic" w:eastAsia="Yu Gothic" w:hAnsi="Yu Gothic"/>
                <w:b/>
                <w:bCs/>
                <w:color w:val="FFFFFF"/>
                <w:sz w:val="21"/>
                <w:szCs w:val="21"/>
              </w:rPr>
              <w:t xml:space="preserve">計算</w:t>
            </w:r>
          </w:p>
        </w:tc>
        <w:tc>
          <w:tcPr>
            <w:tcW w:type="dxa" w:w="2000"/>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left"/>
            </w:pPr>
            <w:r>
              <w:rPr>
                <w:rFonts w:ascii="Yu Gothic" w:eastAsia="Yu Gothic" w:hAnsi="Yu Gothic"/>
                <w:b/>
                <w:bCs/>
                <w:color w:val="FFFFFF"/>
                <w:sz w:val="21"/>
                <w:szCs w:val="21"/>
              </w:rPr>
              <w:t xml:space="preserve">金額</w:t>
            </w:r>
          </w:p>
        </w:tc>
      </w:tr>
      <w:tr>
        <w:trPr>
          <w:cantSplit/>
        </w:trPr>
        <w:tc>
          <w:tcPr>
            <w:tcW w:type="dxa" w:w="43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sz w:val="21"/>
                <w:szCs w:val="21"/>
              </w:rPr>
              <w:t xml:space="preserve">基本賃金（所定労働時間172時間）</w:t>
            </w:r>
          </w:p>
        </w:tc>
        <w:tc>
          <w:tcPr>
            <w:tcW w:type="dxa" w:w="33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1,000円 × 172時間</w:t>
            </w:r>
          </w:p>
        </w:tc>
        <w:tc>
          <w:tcPr>
            <w:tcW w:type="dxa" w:w="20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b w:val="false"/>
                <w:bCs w:val="false"/>
                <w:sz w:val="21"/>
                <w:szCs w:val="21"/>
              </w:rPr>
              <w:t xml:space="preserve">172,000円</w:t>
            </w:r>
          </w:p>
        </w:tc>
      </w:tr>
      <w:tr>
        <w:trPr>
          <w:cantSplit/>
        </w:trPr>
        <w:tc>
          <w:tcPr>
            <w:tcW w:type="dxa" w:w="43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sz w:val="21"/>
                <w:szCs w:val="21"/>
              </w:rPr>
              <w:t xml:space="preserve">法定内労働（所定を超えるが総枠内）の賃金</w:t>
            </w:r>
          </w:p>
        </w:tc>
        <w:tc>
          <w:tcPr>
            <w:tcW w:type="dxa" w:w="33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1,000円 × 6時間</w:t>
            </w:r>
          </w:p>
        </w:tc>
        <w:tc>
          <w:tcPr>
            <w:tcW w:type="dxa" w:w="20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b w:val="false"/>
                <w:bCs w:val="false"/>
                <w:sz w:val="21"/>
                <w:szCs w:val="21"/>
              </w:rPr>
              <w:t xml:space="preserve">6,000円</w:t>
            </w:r>
          </w:p>
        </w:tc>
      </w:tr>
      <w:tr>
        <w:trPr>
          <w:cantSplit/>
        </w:trPr>
        <w:tc>
          <w:tcPr>
            <w:tcW w:type="dxa" w:w="43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sz w:val="21"/>
                <w:szCs w:val="21"/>
              </w:rPr>
              <w:t xml:space="preserve">時間外労働の賃金（１日・１週で時間外となる3時間）</w:t>
            </w:r>
          </w:p>
        </w:tc>
        <w:tc>
          <w:tcPr>
            <w:tcW w:type="dxa" w:w="33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1,000円 × 1.25 × 3時間</w:t>
            </w:r>
          </w:p>
        </w:tc>
        <w:tc>
          <w:tcPr>
            <w:tcW w:type="dxa" w:w="20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b w:val="false"/>
                <w:bCs w:val="false"/>
                <w:sz w:val="21"/>
                <w:szCs w:val="21"/>
              </w:rPr>
              <w:t xml:space="preserve">3,750円</w:t>
            </w:r>
          </w:p>
        </w:tc>
      </w:tr>
      <w:tr>
        <w:trPr>
          <w:cantSplit/>
        </w:trPr>
        <w:tc>
          <w:tcPr>
            <w:tcW w:type="dxa" w:w="43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pPr>
              <w:spacing w:after="40" w:line="290"/>
              <w:jc w:val="left"/>
            </w:pPr>
            <w:r>
              <w:rPr>
                <w:rFonts w:ascii="Yu Gothic" w:eastAsia="Yu Gothic" w:hAnsi="Yu Gothic"/>
                <w:sz w:val="21"/>
                <w:szCs w:val="21"/>
              </w:rPr>
              <w:t xml:space="preserve">時間外労働の賃金（月の総枠を超えた0.9時間分）</w:t>
            </w:r>
          </w:p>
        </w:tc>
        <w:tc>
          <w:tcPr>
            <w:tcW w:type="dxa" w:w="33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1,000円 × 0.25 × 0.9時間</w:t>
            </w:r>
          </w:p>
        </w:tc>
        <w:tc>
          <w:tcPr>
            <w:tcW w:type="dxa" w:w="20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b w:val="false"/>
                <w:bCs w:val="false"/>
                <w:sz w:val="21"/>
                <w:szCs w:val="21"/>
              </w:rPr>
              <w:t xml:space="preserve">225円</w:t>
            </w:r>
          </w:p>
        </w:tc>
      </w:tr>
      <w:tr>
        <w:trPr>
          <w:cantSplit/>
        </w:trPr>
        <w:tc>
          <w:tcPr>
            <w:tcW w:type="dxa" w:w="4300"/>
            <w:tcBorders>
              <w:top w:val="single" w:color="A6B4C5" w:sz="4"/>
              <w:left w:val="single" w:color="A6B4C5" w:sz="4"/>
              <w:bottom w:val="single" w:color="A6B4C5" w:sz="4"/>
              <w:right w:val="single" w:color="A6B4C5" w:sz="4"/>
            </w:tcBorders>
            <w:shd w:fill="E8EEF5" w:color="auto" w:val="clear"/>
            <w:tcMar>
              <w:top w:type="dxa" w:w="80"/>
              <w:left w:type="dxa" w:w="120"/>
              <w:bottom w:type="dxa" w:w="80"/>
              <w:right w:type="dxa" w:w="120"/>
            </w:tcMar>
            <w:vAlign w:val="center"/>
          </w:tcPr>
          <w:p>
            <w:r>
              <w:rPr>
                <w:rFonts w:ascii="Yu Gothic" w:eastAsia="Yu Gothic" w:hAnsi="Yu Gothic"/>
                <w:b/>
                <w:bCs/>
                <w:sz w:val="21"/>
                <w:szCs w:val="21"/>
              </w:rPr>
              <w:t xml:space="preserve">合計</w:t>
            </w:r>
          </w:p>
        </w:tc>
        <w:tc>
          <w:tcPr>
            <w:tcW w:type="dxa" w:w="33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
            </w:r>
          </w:p>
        </w:tc>
        <w:tc>
          <w:tcPr>
            <w:tcW w:type="dxa" w:w="20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jc w:val="right"/>
            </w:pPr>
            <w:r>
              <w:rPr>
                <w:rFonts w:ascii="Yu Gothic" w:eastAsia="Yu Gothic" w:hAnsi="Yu Gothic"/>
                <w:b/>
                <w:bCs/>
                <w:sz w:val="21"/>
                <w:szCs w:val="21"/>
              </w:rPr>
              <w:t xml:space="preserve">181,975円</w:t>
            </w:r>
          </w:p>
        </w:tc>
      </w:tr>
    </w:tbl>
    <w:p>
      <w:pPr>
        <w:spacing w:after="120" w:before="80"/>
      </w:pPr>
      <w:r>
        <w:rPr>
          <w:rFonts w:ascii="Yu Gothic" w:eastAsia="Yu Gothic" w:hAnsi="Yu Gothic"/>
        </w:rPr>
        <w:t xml:space="preserve">※ 月の総枠を超えた0.9時間分は、所定労働時間内であり基本賃金に含まれているため、割増部分（0.25）のみを加算します。</w:t>
      </w:r>
    </w:p>
    <w:p>
      <w:pPr>
        <w:spacing w:after="120"/>
      </w:pPr>
    </w:p>
    <w:p>
      <w:pPr>
        <w:pStyle w:val="Heading1"/>
      </w:pPr>
      <w:r>
        <w:rPr>
          <w:rFonts w:ascii="Yu Gothic" w:eastAsia="Yu Gothic" w:hAnsi="Yu Gothic"/>
        </w:rPr>
        <w:t xml:space="preserve">７．導入前チェックリスト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938"/>
      </w:tblGrid>
      <w:tr>
        <w:trPr>
          <w:tblHeader/>
        </w:trPr>
        <w:tc>
          <w:tcPr>
            <w:tcW w:type="dxa" w:w="700"/>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center"/>
            </w:pPr>
            <w:r>
              <w:rPr>
                <w:rFonts w:ascii="Yu Gothic" w:eastAsia="Yu Gothic" w:hAnsi="Yu Gothic"/>
                <w:b/>
                <w:bCs/>
                <w:color w:val="FFFFFF"/>
                <w:sz w:val="21"/>
                <w:szCs w:val="21"/>
              </w:rPr>
              <w:t xml:space="preserve">確認</w:t>
            </w:r>
          </w:p>
        </w:tc>
        <w:tc>
          <w:tcPr>
            <w:tcW w:type="dxa" w:w="8938"/>
            <w:tcBorders>
              <w:top w:val="single" w:color="A6B4C5" w:sz="4"/>
              <w:left w:val="single" w:color="A6B4C5" w:sz="4"/>
              <w:bottom w:val="single" w:color="A6B4C5" w:sz="4"/>
              <w:right w:val="single" w:color="A6B4C5" w:sz="4"/>
            </w:tcBorders>
            <w:shd w:fill="1F3A5F" w:color="auto" w:val="clear"/>
            <w:tcMar>
              <w:top w:type="dxa" w:w="80"/>
              <w:left w:type="dxa" w:w="120"/>
              <w:bottom w:type="dxa" w:w="80"/>
              <w:right w:type="dxa" w:w="120"/>
            </w:tcMar>
            <w:vAlign w:val="center"/>
          </w:tcPr>
          <w:p>
            <w:pPr>
              <w:spacing w:after="40" w:line="290"/>
              <w:jc w:val="center"/>
            </w:pPr>
            <w:r>
              <w:rPr>
                <w:rFonts w:ascii="Yu Gothic" w:eastAsia="Yu Gothic" w:hAnsi="Yu Gothic"/>
                <w:b/>
                <w:bCs/>
                <w:color w:val="FFFFFF"/>
                <w:sz w:val="21"/>
                <w:szCs w:val="21"/>
              </w:rPr>
              <w:t xml:space="preserve">項目</w:t>
            </w:r>
          </w:p>
        </w:tc>
      </w:tr>
      <w:tr>
        <w:trPr>
          <w:cantSplit/>
        </w:trPr>
        <w:tc>
          <w:tcPr>
            <w:tcW w:type="dxa" w:w="7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sz w:val="21"/>
                <w:szCs w:val="21"/>
              </w:rPr>
              <w:t xml:space="preserve">□</w:t>
            </w:r>
          </w:p>
        </w:tc>
        <w:tc>
          <w:tcPr>
            <w:tcW w:type="dxa" w:w="8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対象労働者の範囲、対象期間（１か月以内）、起算日が明確になっているか</w:t>
            </w:r>
          </w:p>
        </w:tc>
      </w:tr>
      <w:tr>
        <w:trPr>
          <w:cantSplit/>
        </w:trPr>
        <w:tc>
          <w:tcPr>
            <w:tcW w:type="dxa" w:w="7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sz w:val="21"/>
                <w:szCs w:val="21"/>
              </w:rPr>
              <w:t xml:space="preserve">□</w:t>
            </w:r>
          </w:p>
        </w:tc>
        <w:tc>
          <w:tcPr>
            <w:tcW w:type="dxa" w:w="8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労働日・始業終業時刻を対象期間の開始前に特定できる体制があるか</w:t>
            </w:r>
          </w:p>
        </w:tc>
      </w:tr>
      <w:tr>
        <w:trPr>
          <w:cantSplit/>
        </w:trPr>
        <w:tc>
          <w:tcPr>
            <w:tcW w:type="dxa" w:w="7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sz w:val="21"/>
                <w:szCs w:val="21"/>
              </w:rPr>
              <w:t xml:space="preserve">□</w:t>
            </w:r>
          </w:p>
        </w:tc>
        <w:tc>
          <w:tcPr>
            <w:tcW w:type="dxa" w:w="8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対象期間の総労働時間が、法定労働時間の総枠以下になっているか</w:t>
            </w:r>
          </w:p>
        </w:tc>
      </w:tr>
      <w:tr>
        <w:trPr>
          <w:cantSplit/>
        </w:trPr>
        <w:tc>
          <w:tcPr>
            <w:tcW w:type="dxa" w:w="7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sz w:val="21"/>
                <w:szCs w:val="21"/>
              </w:rPr>
              <w:t xml:space="preserve">□</w:t>
            </w:r>
          </w:p>
        </w:tc>
        <w:tc>
          <w:tcPr>
            <w:tcW w:type="dxa" w:w="8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労使協定の締結（有効期間を含む）または就業規則への記載が完了しているか</w:t>
            </w:r>
          </w:p>
        </w:tc>
      </w:tr>
      <w:tr>
        <w:trPr>
          <w:cantSplit/>
        </w:trPr>
        <w:tc>
          <w:tcPr>
            <w:tcW w:type="dxa" w:w="7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sz w:val="21"/>
                <w:szCs w:val="21"/>
              </w:rPr>
              <w:t xml:space="preserve">□</w:t>
            </w:r>
          </w:p>
        </w:tc>
        <w:tc>
          <w:tcPr>
            <w:tcW w:type="dxa" w:w="8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労働基準監督署への届出（協定届／就業規則届）を行ったか</w:t>
            </w:r>
          </w:p>
        </w:tc>
      </w:tr>
      <w:tr>
        <w:trPr>
          <w:cantSplit/>
        </w:trPr>
        <w:tc>
          <w:tcPr>
            <w:tcW w:type="dxa" w:w="7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sz w:val="21"/>
                <w:szCs w:val="21"/>
              </w:rPr>
              <w:t xml:space="preserve">□</w:t>
            </w:r>
          </w:p>
        </w:tc>
        <w:tc>
          <w:tcPr>
            <w:tcW w:type="dxa" w:w="8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労働者に周知したか（掲示・書面交付・電子データなど）</w:t>
            </w:r>
          </w:p>
        </w:tc>
      </w:tr>
      <w:tr>
        <w:trPr>
          <w:cantSplit/>
        </w:trPr>
        <w:tc>
          <w:tcPr>
            <w:tcW w:type="dxa" w:w="7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sz w:val="21"/>
                <w:szCs w:val="21"/>
              </w:rPr>
              <w:t xml:space="preserve">□</w:t>
            </w:r>
          </w:p>
        </w:tc>
        <w:tc>
          <w:tcPr>
            <w:tcW w:type="dxa" w:w="8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年少者・妊産婦・育児介護中の労働者への対応を確認したか</w:t>
            </w:r>
          </w:p>
        </w:tc>
      </w:tr>
      <w:tr>
        <w:trPr>
          <w:cantSplit/>
        </w:trPr>
        <w:tc>
          <w:tcPr>
            <w:tcW w:type="dxa" w:w="7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sz w:val="21"/>
                <w:szCs w:val="21"/>
              </w:rPr>
              <w:t xml:space="preserve">□</w:t>
            </w:r>
          </w:p>
        </w:tc>
        <w:tc>
          <w:tcPr>
            <w:tcW w:type="dxa" w:w="8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勤怠管理システム・給与計算の設定を、日・週・月の３段階の判定に対応させたか</w:t>
            </w:r>
          </w:p>
        </w:tc>
      </w:tr>
      <w:tr>
        <w:trPr>
          <w:cantSplit/>
        </w:trPr>
        <w:tc>
          <w:tcPr>
            <w:tcW w:type="dxa" w:w="700"/>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center"/>
            </w:pPr>
            <w:r>
              <w:rPr>
                <w:rFonts w:ascii="Yu Gothic" w:eastAsia="Yu Gothic" w:hAnsi="Yu Gothic"/>
                <w:sz w:val="21"/>
                <w:szCs w:val="21"/>
              </w:rPr>
              <w:t xml:space="preserve">□</w:t>
            </w:r>
          </w:p>
        </w:tc>
        <w:tc>
          <w:tcPr>
            <w:tcW w:type="dxa" w:w="8938"/>
            <w:tcBorders>
              <w:top w:val="single" w:color="A6B4C5" w:sz="4"/>
              <w:left w:val="single" w:color="A6B4C5" w:sz="4"/>
              <w:bottom w:val="single" w:color="A6B4C5" w:sz="4"/>
              <w:right w:val="single" w:color="A6B4C5" w:sz="4"/>
            </w:tcBorders>
            <w:tcMar>
              <w:top w:type="dxa" w:w="80"/>
              <w:left w:type="dxa" w:w="120"/>
              <w:bottom w:type="dxa" w:w="80"/>
              <w:right w:type="dxa" w:w="120"/>
            </w:tcMar>
            <w:vAlign w:val="center"/>
          </w:tcPr>
          <w:p>
            <w:pPr>
              <w:spacing w:after="40" w:line="290"/>
              <w:jc w:val="left"/>
            </w:pPr>
            <w:r>
              <w:rPr>
                <w:rFonts w:ascii="Yu Gothic" w:eastAsia="Yu Gothic" w:hAnsi="Yu Gothic"/>
                <w:b w:val="false"/>
                <w:bCs w:val="false"/>
                <w:sz w:val="21"/>
                <w:szCs w:val="21"/>
              </w:rPr>
              <w:t xml:space="preserve">36協定の内容が変形労働時間制に対応しているか</w:t>
            </w:r>
          </w:p>
        </w:tc>
      </w:tr>
    </w:tbl>
    <w:p>
      <w:pPr>
        <w:spacing w:after="120"/>
      </w:pPr>
    </w:p>
    <w:p>
      <w:pPr>
        <w:spacing w:after="120" w:line="320"/>
      </w:pPr>
      <w:r>
        <w:rPr>
          <w:rFonts w:ascii="Yu Gothic" w:eastAsia="Yu Gothic" w:hAnsi="Yu Gothic"/>
          <w:color w:val="5A6878"/>
          <w:sz w:val="18"/>
          <w:szCs w:val="18"/>
        </w:rPr>
        <w:t xml:space="preserve">参考：厚生労働省 リーフレットシリーズ 労基法32条の２「１か月単位の変形労働時間制」。本資料は一般的な解説であり、実際の導入にあたっては最新の法令・通達を確認し、必要に応じて社会保険労務士や所轄の労働基準監督署にご相談ください。</w:t>
      </w:r>
    </w:p>
    <w:sectPr>
      <w:footerReference w:type="default" r:id="rId7"/>
      <w:pgSz w:w="11906" w:h="16838" w:orient="portrait"/>
      <w:pgMar w:top="1247" w:right="1134" w:bottom="124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7A8794"/>
        <w:sz w:val="18"/>
        <w:szCs w:val="18"/>
      </w:rPr>
      <w:t xml:space="preserve">- </w:t>
    </w:r>
    <w:r>
      <w:rPr>
        <w:rFonts w:ascii="Yu Gothic" w:eastAsia="Yu Gothic" w:hAnsi="Yu Gothic"/>
        <w:color w:val="7A8794"/>
        <w:sz w:val="18"/>
        <w:szCs w:val="18"/>
      </w:rPr>
      <w:fldChar w:fldCharType="begin"/>
      <w:instrText xml:space="preserve">PAGE</w:instrText>
      <w:fldChar w:fldCharType="separate"/>
      <w:fldChar w:fldCharType="end"/>
    </w:r>
    <w:r>
      <w:rPr>
        <w:rFonts w:ascii="Yu Gothic" w:eastAsia="Yu Gothic" w:hAnsi="Yu Gothic"/>
        <w:color w:val="7A8794"/>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left w:val="single" w:color="1F3A5F" w:sz="24" w:space="8"/>
      </w:pBdr>
      <w:spacing w:after="140" w:before="320"/>
      <w:outlineLvl w:val="0"/>
    </w:pPr>
    <w:rPr>
      <w:rFonts w:ascii="Yu Gothic" w:eastAsia="Yu Gothic" w:hAnsi="Yu Gothic"/>
      <w:b/>
      <w:bCs/>
      <w:color w:val="1F3A5F"/>
      <w:sz w:val="30"/>
      <w:szCs w:val="30"/>
    </w:rPr>
  </w:style>
  <w:style w:type="paragraph" w:styleId="Heading2">
    <w:name w:val="Heading 2"/>
    <w:basedOn w:val="Normal"/>
    <w:next w:val="Normal"/>
    <w:qFormat/>
    <w:pPr>
      <w:keepNext/>
      <w:spacing w:after="100" w:before="240"/>
      <w:outlineLvl w:val="1"/>
    </w:pPr>
    <w:rPr>
      <w:rFonts w:ascii="Yu Gothic" w:eastAsia="Yu Gothic" w:hAnsi="Yu Gothic"/>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１か月単位の変形労働時間制</dc:title>
  <dc:creator>Claude</dc:creator>
  <cp:lastModifiedBy>Un-named</cp:lastModifiedBy>
  <cp:revision>1</cp:revision>
  <dcterms:created xsi:type="dcterms:W3CDTF">2026-10-23T07:22:37.628Z</dcterms:created>
  <dcterms:modified xsi:type="dcterms:W3CDTF">2026-10-23T07:22:37.628Z</dcterms:modified>
</cp:coreProperties>
</file>

<file path=docProps/custom.xml><?xml version="1.0" encoding="utf-8"?>
<Properties xmlns="http://schemas.openxmlformats.org/officeDocument/2006/custom-properties" xmlns:vt="http://schemas.openxmlformats.org/officeDocument/2006/docPropsVTypes"/>
</file>