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eastAsia="Yu Gothic"/>
          <w:b/>
          <w:bCs/>
          <w:color w:val="1F3A5F"/>
          <w:sz w:val="40"/>
          <w:szCs w:val="40"/>
        </w:rPr>
        <w:t xml:space="preserve">知らないと損する！助成金50の落とし穴</w:t>
      </w:r>
    </w:p>
    <w:p>
      <w:pPr>
        <w:spacing w:after="240"/>
        <w:jc w:val="center"/>
      </w:pPr>
      <w:r>
        <w:rPr>
          <w:rFonts w:ascii="Yu Gothic" w:eastAsia="Yu Gothic"/>
          <w:color w:val="555555"/>
          <w:sz w:val="24"/>
          <w:szCs w:val="24"/>
        </w:rPr>
        <w:t xml:space="preserve">不支給・申請ミス・返還リスクを防ぐ50の実例と助成金別チェックポイント</w:t>
      </w:r>
    </w:p>
    <w:p>
      <w:pPr>
        <w:pStyle w:val="Heading1"/>
        <w:pBdr>
          <w:bottom w:val="single" w:color="2E5A88" w:sz="6" w:space="2"/>
        </w:pBdr>
        <w:spacing w:after="160" w:before="320"/>
      </w:pPr>
      <w:r>
        <w:rPr>
          <w:rFonts w:ascii="Yu Gothic" w:eastAsia="Yu Gothic"/>
          <w:b/>
          <w:bCs/>
          <w:color w:val="2E5A88"/>
          <w:sz w:val="28"/>
          <w:szCs w:val="28"/>
        </w:rPr>
        <w:t xml:space="preserve">書籍の概要</w:t>
      </w:r>
    </w:p>
    <w:p>
      <w:pPr>
        <w:spacing w:after="120" w:line="340"/>
      </w:pPr>
      <w:r>
        <w:rPr>
          <w:rFonts w:ascii="Yu Gothic" w:eastAsia="Yu Gothic"/>
        </w:rPr>
        <w:t xml:space="preserve">助成金は中小企業に広く知られている一方、制度の名称や支給額を知っているだけでは、確実な受給にはつながらない。準備の順序、労務管理、証拠資料、申請手続、受給後の対応など、各段階でのわずかな認識の違いが、不支給・申請断念・取消し／返還といった事態を招くことがある。</w:t>
      </w:r>
    </w:p>
    <w:p>
      <w:pPr>
        <w:spacing w:after="120" w:line="340"/>
      </w:pPr>
      <w:r>
        <w:rPr>
          <w:rFonts w:ascii="Yu Gothic" w:eastAsia="Yu Gothic"/>
        </w:rPr>
        <w:t xml:space="preserve">本書は、助成金の制度解説を中心とする従来型の手引書ではない。失敗や見落としがあった事例と、事前に問題を発見して未然に防いだ事例、あわせて50の事例を通じて、「なぜ問題が起きたのか」「どの段階で防げたのか」「次に何を確認すべきか」を具体的に解き明かす実践書である。</w:t>
      </w:r>
    </w:p>
    <w:p>
      <w:pPr>
        <w:spacing w:after="120" w:line="340"/>
      </w:pPr>
      <w:r>
        <w:rPr>
          <w:rFonts w:ascii="Yu Gothic" w:eastAsia="Yu Gothic"/>
        </w:rPr>
        <w:t xml:space="preserve">各事例は、経緯・原因・確認すべきポイント・再発防止策を統一した形式で整理している。経営者・人事・総務担当者が社内で行う確認と、社会保険労務士（以下「社労士」）が専門的な立場から行う確認を分けて示す。後半には、申請の各段階で繰り返し使える「助成金別チェックポイント」を収録する。</w:t>
      </w:r>
    </w:p>
    <w:p>
      <w:pPr>
        <w:pStyle w:val="Heading1"/>
        <w:pBdr>
          <w:bottom w:val="single" w:color="2E5A88" w:sz="6" w:space="2"/>
        </w:pBdr>
        <w:spacing w:after="160" w:before="320"/>
      </w:pPr>
      <w:r>
        <w:rPr>
          <w:rFonts w:ascii="Yu Gothic" w:eastAsia="Yu Gothic"/>
          <w:b/>
          <w:bCs/>
          <w:color w:val="2E5A88"/>
          <w:sz w:val="28"/>
          <w:szCs w:val="28"/>
        </w:rPr>
        <w:t xml:space="preserve">想定読者と活用場面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  <w:b/>
                <w:bCs/>
              </w:rPr>
              <w:t xml:space="preserve">中小企業の経営者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</w:rPr>
              <w:t xml:space="preserve">受給機会を逃さないための経営判断、社内の準備体制の点検に。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  <w:b/>
                <w:bCs/>
              </w:rPr>
              <w:t xml:space="preserve">人事・総務担当者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</w:rPr>
              <w:t xml:space="preserve">計画・実施・申請・受給後の社内実務と必要書類の確認に。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  <w:b/>
                <w:bCs/>
              </w:rPr>
              <w:t xml:space="preserve">社会保険労務士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eastAsia="Yu Gothic"/>
              </w:rPr>
              <w:t xml:space="preserve">申請前点検、顧問先への説明、業務の品質管理と再発防止に。</w:t>
            </w:r>
          </w:p>
        </w:tc>
      </w:tr>
    </w:tbl>
    <w:p>
      <w:pPr>
        <w:pStyle w:val="Heading1"/>
        <w:pBdr>
          <w:bottom w:val="single" w:color="2E5A88" w:sz="6" w:space="2"/>
        </w:pBdr>
        <w:spacing w:after="160" w:before="320"/>
      </w:pPr>
      <w:r>
        <w:rPr>
          <w:rFonts w:ascii="Yu Gothic" w:eastAsia="Yu Gothic"/>
          <w:b/>
          <w:bCs/>
          <w:color w:val="2E5A88"/>
          <w:sz w:val="28"/>
          <w:szCs w:val="28"/>
        </w:rPr>
        <w:t xml:space="preserve">本書の特色</w:t>
      </w:r>
    </w:p>
    <w:p>
      <w:pPr>
        <w:spacing w:after="120" w:line="340"/>
      </w:pPr>
      <w:r>
        <w:rPr>
          <w:rFonts w:ascii="Yu Gothic" w:eastAsia="Yu Gothic"/>
        </w:rPr>
        <w:t xml:space="preserve">① 「失敗した事例」と「未然に防いだ事例」の両面から、判断の分岐点を学べる。</w:t>
      </w:r>
    </w:p>
    <w:p>
      <w:pPr>
        <w:spacing w:after="120" w:line="340"/>
      </w:pPr>
      <w:r>
        <w:rPr>
          <w:rFonts w:ascii="Yu Gothic" w:eastAsia="Yu Gothic"/>
        </w:rPr>
        <w:t xml:space="preserve">② 企業側・社労士側、それぞれの確認事項と役割分担が明確になる。</w:t>
      </w:r>
    </w:p>
    <w:p>
      <w:pPr>
        <w:spacing w:after="120" w:line="340"/>
      </w:pPr>
      <w:r>
        <w:rPr>
          <w:rFonts w:ascii="Yu Gothic" w:eastAsia="Yu Gothic"/>
        </w:rPr>
        <w:t xml:space="preserve">③ 助成金別チェックポイントにより、読んだ後も実務で反復利用できる。</w:t>
      </w:r>
    </w:p>
    <w:p>
      <w:pPr>
        <w:spacing w:after="120" w:line="340"/>
      </w:pPr>
      <w:r>
        <w:rPr>
          <w:rFonts w:ascii="Yu Gothic" w:eastAsia="Yu Gothic"/>
        </w:rPr>
        <w:t xml:space="preserve">④ 不支給・申請断念・取消し／返還を区別し、事実関係と根拠を丁寧に扱う。</w:t>
      </w:r>
    </w:p>
    <w:p>
      <w:pPr>
        <w:pStyle w:val="Heading1"/>
        <w:pBdr>
          <w:bottom w:val="single" w:color="2E5A88" w:sz="6" w:space="2"/>
        </w:pBdr>
        <w:spacing w:after="160" w:before="320"/>
      </w:pPr>
      <w:r>
        <w:rPr>
          <w:rFonts w:ascii="Yu Gothic" w:eastAsia="Yu Gothic"/>
          <w:b/>
          <w:bCs/>
          <w:color w:val="2E5A88"/>
          <w:sz w:val="28"/>
          <w:szCs w:val="28"/>
        </w:rPr>
        <w:t xml:space="preserve">想定仕様</w:t>
      </w:r>
    </w:p>
    <w:p>
      <w:pPr>
        <w:spacing w:after="120" w:line="340"/>
      </w:pPr>
      <w:r>
        <w:rPr>
          <w:rFonts w:ascii="Yu Gothic" w:eastAsia="Yu Gothic"/>
        </w:rPr>
        <w:t xml:space="preserve">A5判・約240ページ（序章／第1部：50事例／第2部：助成金別チェックポイント／終章・巻末資料）。制度要件は刊行時点の内容を確認のうえ記載し、改正情報への案内も設ける。</w:t>
      </w:r>
    </w:p>
    <w:p>
      <w:pPr>
        <w:pStyle w:val="Heading1"/>
        <w:pageBreakBefore/>
        <w:pBdr>
          <w:bottom w:val="single" w:color="2E5A88" w:sz="6" w:space="2"/>
        </w:pBdr>
        <w:spacing w:after="160" w:before="0"/>
      </w:pPr>
      <w:r>
        <w:rPr>
          <w:rFonts w:ascii="Yu Gothic" w:eastAsia="Yu Gothic"/>
          <w:b/>
          <w:bCs/>
          <w:color w:val="2E5A88"/>
          <w:sz w:val="28"/>
          <w:szCs w:val="28"/>
        </w:rPr>
        <w:t xml:space="preserve">目次案</w:t>
      </w:r>
    </w:p>
    <w:p>
      <w:pPr>
        <w:spacing w:after="120" w:line="340"/>
      </w:pPr>
      <w:r>
        <w:rPr>
          <w:rFonts w:ascii="Yu Gothic" w:eastAsia="Yu Gothic"/>
        </w:rPr>
        <w:t xml:space="preserve">※個別の事例タイトルと助成金名は、原稿の編集段階で確定する。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はじめに</w:t>
      </w:r>
      <w:r>
        <w:rPr>
          <w:rFonts w:ascii="Yu Gothic" w:eastAsia="Yu Gothic"/>
        </w:rPr>
        <w:t xml:space="preserve">　「受給できるはず」が「受給できない」に変わるとき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序　章</w:t>
      </w:r>
      <w:r>
        <w:rPr>
          <w:rFonts w:ascii="Yu Gothic" w:eastAsia="Yu Gothic"/>
        </w:rPr>
        <w:t xml:space="preserve">　助成金の失敗を防ぐための基礎知識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/>
        </w:rPr>
        <w:t xml:space="preserve">不支給・申請断念・取消し／返還の違い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/>
        </w:rPr>
        <w:t xml:space="preserve">申請の流れと、企業・社労士の確認の役割分担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第1部</w:t>
      </w:r>
      <w:r>
        <w:rPr>
          <w:rFonts w:ascii="Yu Gothic" w:eastAsia="Yu Gothic"/>
        </w:rPr>
        <w:t xml:space="preserve">　50の実例で学ぶ「助成金の落とし穴」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第1章</w:t>
      </w:r>
      <w:r>
        <w:rPr>
          <w:rFonts w:ascii="Yu Gothic" w:eastAsia="Yu Gothic"/>
        </w:rPr>
        <w:t xml:space="preserve">　申請前の判断・準備の落とし穴【10事例】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対象事業主・対象者の確認／事前手続／準備不足の予防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第2章</w:t>
      </w:r>
      <w:r>
        <w:rPr>
          <w:rFonts w:ascii="Yu Gothic" w:eastAsia="Yu Gothic"/>
        </w:rPr>
        <w:t xml:space="preserve">　雇用契約・就業規則・労務管理の落とし穴【10事例】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契約内容と実態／規程の整備と運用／勤怠・賃金などの記録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第3章</w:t>
      </w:r>
      <w:r>
        <w:rPr>
          <w:rFonts w:ascii="Yu Gothic" w:eastAsia="Yu Gothic"/>
        </w:rPr>
        <w:t xml:space="preserve">　制度の実施・要件管理の落とし穴【15事例】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実施時期と手順／支給要件の継続確認／社内の変更・連絡管理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第4章</w:t>
      </w:r>
      <w:r>
        <w:rPr>
          <w:rFonts w:ascii="Yu Gothic" w:eastAsia="Yu Gothic"/>
        </w:rPr>
        <w:t xml:space="preserve">　支給申請・審査対応の落とし穴【10事例】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期限管理／申請書類の整合性／照会・補正への対応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第5章</w:t>
      </w:r>
      <w:r>
        <w:rPr>
          <w:rFonts w:ascii="Yu Gothic" w:eastAsia="Yu Gothic"/>
        </w:rPr>
        <w:t xml:space="preserve">　受給後の管理・返還リスクの落とし穴【5事例】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記録保存／事後確認・調査／再発防止の仕組み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第2部</w:t>
      </w:r>
      <w:r>
        <w:rPr>
          <w:rFonts w:ascii="Yu Gothic" w:eastAsia="Yu Gothic"/>
        </w:rPr>
        <w:t xml:space="preserve">　実務で使える「助成金別チェックポイント」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第6章</w:t>
      </w:r>
      <w:r>
        <w:rPr>
          <w:rFonts w:ascii="Yu Gothic" w:eastAsia="Yu Gothic"/>
        </w:rPr>
        <w:t xml:space="preserve">　助成金別チェックポイントの見方・使い方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確認のタイミング／担当者・確認日／確認結果の記録方法</w:t>
      </w:r>
    </w:p>
    <w:p>
      <w:pPr>
        <w:spacing w:after="40" w:before="100"/>
        <w:ind w:left="360"/>
      </w:pPr>
      <w:r>
        <w:rPr>
          <w:rFonts w:ascii="Yu Gothic" w:eastAsia="Yu Gothic"/>
          <w:b/>
          <w:bCs/>
        </w:rPr>
        <w:t xml:space="preserve">第7章</w:t>
      </w:r>
      <w:r>
        <w:rPr>
          <w:rFonts w:ascii="Yu Gothic" w:eastAsia="Yu Gothic"/>
        </w:rPr>
        <w:t xml:space="preserve">　助成金別チェックシート集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対象要件／事前手続／労務管理／実施記録／申請期限／受給後の管理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eastAsia="Yu Gothic"/>
        </w:rPr>
        <w:t xml:space="preserve">経営者・担当者の確認欄と社労士の専門確認欄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終　章</w:t>
      </w:r>
      <w:r>
        <w:rPr>
          <w:rFonts w:ascii="Yu Gothic" w:eastAsia="Yu Gothic"/>
        </w:rPr>
        <w:t xml:space="preserve">　「申請する前に防ぐ」仕組みをつくる</w:t>
      </w:r>
    </w:p>
    <w:p>
      <w:pPr>
        <w:spacing w:after="60" w:before="160"/>
      </w:pPr>
      <w:r>
        <w:rPr>
          <w:rFonts w:ascii="Yu Gothic" w:eastAsia="Yu Gothic"/>
          <w:b/>
          <w:bCs/>
        </w:rPr>
        <w:t xml:space="preserve">巻末資料</w:t>
      </w:r>
      <w:r>
        <w:rPr>
          <w:rFonts w:ascii="Yu Gothic" w:eastAsia="Yu Gothic"/>
        </w:rPr>
        <w:t xml:space="preserve">　（内容は要確認。改正情報の案内など）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2026-10-13T10:28:44.899Z</dcterms:created>
  <dcterms:modified xsi:type="dcterms:W3CDTF">2026-10-13T10:28:44.899Z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