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072"/>
      </w:tblGrid>
      <w:tr>
        <w:tc>
          <w:tcPr>
            <w:tcW w:type="dxa" w:w="9071"/>
            <w:shd w:val="clear" w:color="auto" w:fill="1F3864"/>
          </w:tcPr>
          <w:p>
            <w:pPr>
              <w:spacing w:before="400" w:after="120"/>
              <w:jc w:val="center"/>
            </w:pPr>
            <w:r>
              <w:rPr>
                <w:rFonts w:eastAsia="游明朝"/>
                <w:rFonts w:ascii="游明朝" w:hAnsi="游明朝"/>
                <w:b/>
                <w:color w:val="FFFFFF"/>
                <w:sz w:val="40"/>
              </w:rPr>
              <w:t>就　業　規　則　整　備　の　ご　提　案</w:t>
            </w:r>
          </w:p>
          <w:p>
            <w:pPr>
              <w:spacing w:before="80" w:after="400"/>
              <w:jc w:val="center"/>
            </w:pPr>
            <w:r>
              <w:rPr>
                <w:rFonts w:eastAsia="游明朝"/>
                <w:rFonts w:ascii="游明朝" w:hAnsi="游明朝"/>
                <w:b w:val="0"/>
                <w:color w:val="BDD7EE"/>
                <w:sz w:val="22"/>
              </w:rPr>
              <w:t>〜 従業員10人未満の企業における就業規則未整備のリスクと対策 〜</w:t>
            </w:r>
          </w:p>
        </w:tc>
      </w:tr>
    </w:tbl>
    <w:p/>
    <w:tbl>
      <w:tblPr>
        <w:tblW w:type="auto" w:w="0"/>
        <w:jc w:val="right"/>
        <w:tblLook w:firstColumn="1" w:firstRow="1" w:lastColumn="0" w:lastRow="0" w:noHBand="0" w:noVBand="1" w:val="04A0"/>
      </w:tblPr>
      <w:tblGrid>
        <w:gridCol w:w="4536"/>
        <w:gridCol w:w="4536"/>
      </w:tblGrid>
      <w:tr>
        <w:tc>
          <w:tcPr>
            <w:tcW w:type="dxa" w:w="1984"/>
            <w:shd w:val="clear" w:color="auto" w:fill="DCE6F1"/>
          </w:tcPr>
          <w:p>
            <w:pPr>
              <w:jc w:val="center"/>
            </w:pPr>
            <w:r>
              <w:rPr>
                <w:rFonts w:eastAsia="游明朝"/>
                <w:rFonts w:ascii="游明朝" w:hAnsi="游明朝"/>
                <w:b/>
                <w:color w:val="1F3864"/>
                <w:sz w:val="20"/>
              </w:rPr>
              <w:t>提　案　日</w:t>
            </w:r>
          </w:p>
        </w:tc>
        <w:tc>
          <w:tcPr>
            <w:tcW w:type="dxa" w:w="4535"/>
          </w:tcPr>
          <w:p>
            <w:r>
              <w:rPr>
                <w:rFonts w:eastAsia="游明朝"/>
                <w:rFonts w:ascii="游明朝" w:hAnsi="游明朝"/>
                <w:b w:val="0"/>
                <w:color w:val="595959"/>
                <w:sz w:val="20"/>
              </w:rPr>
              <w:t>令和　　年　　月　　日</w:t>
            </w:r>
          </w:p>
        </w:tc>
      </w:tr>
      <w:tr>
        <w:tc>
          <w:tcPr>
            <w:tcW w:type="dxa" w:w="1984"/>
            <w:shd w:val="clear" w:color="auto" w:fill="DCE6F1"/>
          </w:tcPr>
          <w:p>
            <w:pPr>
              <w:jc w:val="center"/>
            </w:pPr>
            <w:r>
              <w:rPr>
                <w:rFonts w:eastAsia="游明朝"/>
                <w:rFonts w:ascii="游明朝" w:hAnsi="游明朝"/>
                <w:b/>
                <w:color w:val="1F3864"/>
                <w:sz w:val="20"/>
              </w:rPr>
              <w:t>提　案　者</w:t>
            </w:r>
          </w:p>
        </w:tc>
        <w:tc>
          <w:tcPr>
            <w:tcW w:type="dxa" w:w="4535"/>
          </w:tcPr>
          <w:p>
            <w:r>
              <w:rPr>
                <w:rFonts w:eastAsia="游明朝"/>
                <w:rFonts w:ascii="游明朝" w:hAnsi="游明朝"/>
                <w:b w:val="0"/>
                <w:color w:val="595959"/>
                <w:sz w:val="20"/>
              </w:rPr>
            </w:r>
          </w:p>
        </w:tc>
      </w:tr>
      <w:tr>
        <w:tc>
          <w:tcPr>
            <w:tcW w:type="dxa" w:w="1984"/>
            <w:shd w:val="clear" w:color="auto" w:fill="DCE6F1"/>
          </w:tcPr>
          <w:p>
            <w:pPr>
              <w:jc w:val="center"/>
            </w:pPr>
            <w:r>
              <w:rPr>
                <w:rFonts w:eastAsia="游明朝"/>
                <w:rFonts w:ascii="游明朝" w:hAnsi="游明朝"/>
                <w:b/>
                <w:color w:val="1F3864"/>
                <w:sz w:val="20"/>
              </w:rPr>
              <w:t>宛　　　先</w:t>
            </w:r>
          </w:p>
        </w:tc>
        <w:tc>
          <w:tcPr>
            <w:tcW w:type="dxa" w:w="4535"/>
          </w:tcPr>
          <w:p>
            <w:r>
              <w:rPr>
                <w:rFonts w:eastAsia="游明朝"/>
                <w:rFonts w:ascii="游明朝" w:hAnsi="游明朝"/>
                <w:b w:val="0"/>
                <w:color w:val="595959"/>
                <w:sz w:val="20"/>
              </w:rPr>
            </w:r>
          </w:p>
        </w:tc>
      </w:tr>
      <w:tr>
        <w:tc>
          <w:tcPr>
            <w:tcW w:type="dxa" w:w="1984"/>
            <w:shd w:val="clear" w:color="auto" w:fill="DCE6F1"/>
          </w:tcPr>
          <w:p>
            <w:pPr>
              <w:jc w:val="center"/>
            </w:pPr>
            <w:r>
              <w:rPr>
                <w:rFonts w:eastAsia="游明朝"/>
                <w:rFonts w:ascii="游明朝" w:hAnsi="游明朝"/>
                <w:b/>
                <w:color w:val="1F3864"/>
                <w:sz w:val="20"/>
              </w:rPr>
              <w:t>作　成　者</w:t>
            </w:r>
          </w:p>
        </w:tc>
        <w:tc>
          <w:tcPr>
            <w:tcW w:type="dxa" w:w="4535"/>
          </w:tcPr>
          <w:p>
            <w:r>
              <w:rPr>
                <w:rFonts w:eastAsia="游明朝"/>
                <w:rFonts w:ascii="游明朝" w:hAnsi="游明朝"/>
                <w:b w:val="0"/>
                <w:color w:val="595959"/>
                <w:sz w:val="20"/>
              </w:rPr>
            </w:r>
          </w:p>
        </w:tc>
      </w:tr>
    </w:tbl>
    <w:p/>
    <w:tbl>
      <w:tblPr>
        <w:tblW w:type="auto" w:w="0"/>
        <w:jc w:val="center"/>
        <w:tblLook w:firstColumn="1" w:firstRow="1" w:lastColumn="0" w:lastRow="0" w:noHBand="0" w:noVBand="1" w:val="04A0"/>
      </w:tblPr>
      <w:tblGrid>
        <w:gridCol w:w="9072"/>
      </w:tblGrid>
      <w:tr>
        <w:tc>
          <w:tcPr>
            <w:tcW w:type="dxa" w:w="9072"/>
            <w:shd w:val="clear" w:color="auto" w:fill="FFF2CC"/>
          </w:tcPr>
          <w:p>
            <w:pPr>
              <w:spacing w:before="160" w:after="40"/>
            </w:pPr>
            <w:r>
              <w:rPr>
                <w:rFonts w:eastAsia="游明朝"/>
                <w:rFonts w:ascii="游明朝" w:hAnsi="游明朝"/>
                <w:b/>
                <w:color w:val="C00000"/>
                <w:sz w:val="22"/>
              </w:rPr>
              <w:t>【本提案書の目的】</w:t>
            </w:r>
          </w:p>
          <w:p>
            <w:pPr>
              <w:spacing w:before="40" w:after="160"/>
              <w:ind w:left="170"/>
            </w:pPr>
            <w:r>
              <w:rPr>
                <w:rFonts w:eastAsia="游明朝"/>
                <w:rFonts w:ascii="游明朝" w:hAnsi="游明朝"/>
                <w:b w:val="0"/>
                <w:color w:val="595959"/>
                <w:sz w:val="21"/>
              </w:rPr>
              <w:t>従業員が10人未満の企業には、労働基準法上の就業規則作成義務はありません。しかし、就業規則を整備していないことにより、労使トラブル・助成金不受給・採用力低下など、企業経営に深刻な影響を与えるリスクが生じます。本提案書では、そのリスクを具体的に示すとともに、早期の就業規則整備をご提案いたします。</w:t>
            </w:r>
          </w:p>
        </w:tc>
      </w:tr>
    </w:tbl>
    <w:p>
      <w:r>
        <w:br w:type="page"/>
      </w:r>
    </w:p>
    <w:p>
      <w:pPr>
        <w:spacing w:before="280" w:after="120"/>
        <w:ind w:left="0"/>
        <w:pBdr>
          <w:bottom w:val="single" w:sz="6" w:space="4" w:color="1F3864"/>
        </w:pBdr>
      </w:pPr>
      <w:r>
        <w:rPr>
          <w:rFonts w:eastAsia="游明朝"/>
          <w:rFonts w:ascii="游明朝" w:hAnsi="游明朝"/>
          <w:b/>
          <w:color w:val="1F3864"/>
          <w:sz w:val="32"/>
        </w:rPr>
        <w:t>第１章　法的背景と義務の範囲</w:t>
      </w:r>
    </w:p>
    <w:p>
      <w:pPr>
        <w:spacing w:before="40" w:after="40" w:line="320" w:lineRule="exact"/>
        <w:ind w:left="170"/>
      </w:pPr>
      <w:r>
        <w:rPr>
          <w:rFonts w:eastAsia="游明朝"/>
          <w:rFonts w:ascii="游明朝" w:hAnsi="游明朝"/>
          <w:b w:val="0"/>
          <w:color w:val="595959"/>
          <w:sz w:val="21"/>
        </w:rPr>
        <w:t>労働基準法第89条は、常時10人以上の従業員を使用する事業場に対し、就業規則の作成および所轄労働基準監督署への届出を義務付けています。この規定により、従業員が10人未満の企業は法的な作成義務を負いません。</w:t>
      </w:r>
    </w:p>
    <w:p>
      <w:pPr>
        <w:spacing w:before="40" w:after="40" w:line="320" w:lineRule="exact"/>
        <w:ind w:left="170"/>
      </w:pPr>
      <w:r>
        <w:rPr>
          <w:rFonts w:eastAsia="游明朝"/>
          <w:rFonts w:ascii="游明朝" w:hAnsi="游明朝"/>
          <w:b w:val="0"/>
          <w:color w:val="595959"/>
          <w:sz w:val="21"/>
        </w:rPr>
        <w:t>しかしながら、「義務がない＝整備しなくてよい」ではありません。就業規則は、会社と従業員双方のルールブックであり、その存在が「労使間の紛争解決の基準」「懲戒処分の根拠」「各種制度導入の法的要件」として機能します。</w:t>
      </w:r>
    </w:p>
    <w:p>
      <w:pPr>
        <w:spacing w:before="200" w:after="80"/>
        <w:ind w:left="170"/>
      </w:pPr>
      <w:r>
        <w:rPr>
          <w:rFonts w:eastAsia="游明朝"/>
          <w:rFonts w:ascii="游明朝" w:hAnsi="游明朝"/>
          <w:b/>
          <w:color w:val="1F3864"/>
          <w:sz w:val="24"/>
        </w:rPr>
        <w:t>■ 関連法規の概要</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3864"/>
          </w:tcPr>
          <w:p>
            <w:pPr>
              <w:jc w:val="center"/>
            </w:pPr>
            <w:r>
              <w:rPr>
                <w:rFonts w:eastAsia="游明朝"/>
                <w:rFonts w:ascii="游明朝" w:hAnsi="游明朝"/>
                <w:b/>
                <w:color w:val="FFFFFF"/>
                <w:sz w:val="20"/>
              </w:rPr>
              <w:t>法律・条文</w:t>
            </w:r>
          </w:p>
        </w:tc>
        <w:tc>
          <w:tcPr>
            <w:tcW w:type="dxa" w:w="4536"/>
            <w:shd w:val="clear" w:color="auto" w:fill="1F3864"/>
          </w:tcPr>
          <w:p>
            <w:pPr>
              <w:jc w:val="center"/>
            </w:pPr>
            <w:r>
              <w:rPr>
                <w:rFonts w:eastAsia="游明朝"/>
                <w:rFonts w:ascii="游明朝" w:hAnsi="游明朝"/>
                <w:b/>
                <w:color w:val="FFFFFF"/>
                <w:sz w:val="20"/>
              </w:rPr>
              <w:t>内容</w:t>
            </w:r>
          </w:p>
        </w:tc>
      </w:tr>
      <w:tr>
        <w:tc>
          <w:tcPr>
            <w:tcW w:type="dxa" w:w="4536"/>
            <w:shd w:val="clear" w:color="auto" w:fill="DCE6F1"/>
          </w:tcPr>
          <w:p>
            <w:r>
              <w:rPr>
                <w:rFonts w:eastAsia="游明朝"/>
                <w:rFonts w:ascii="游明朝" w:hAnsi="游明朝"/>
                <w:b/>
                <w:color w:val="1F3864"/>
                <w:sz w:val="20"/>
              </w:rPr>
              <w:t>労基法 第89条</w:t>
            </w:r>
          </w:p>
        </w:tc>
        <w:tc>
          <w:tcPr>
            <w:tcW w:type="dxa" w:w="4536"/>
          </w:tcPr>
          <w:p>
            <w:r>
              <w:rPr>
                <w:rFonts w:eastAsia="游明朝"/>
                <w:rFonts w:ascii="游明朝" w:hAnsi="游明朝"/>
                <w:b w:val="0"/>
                <w:color w:val="595959"/>
                <w:sz w:val="20"/>
              </w:rPr>
              <w:t>常時10人以上の事業場に就業規則の作成・届出義務</w:t>
            </w:r>
          </w:p>
        </w:tc>
      </w:tr>
      <w:tr>
        <w:tc>
          <w:tcPr>
            <w:tcW w:type="dxa" w:w="4536"/>
            <w:shd w:val="clear" w:color="auto" w:fill="DCE6F1"/>
          </w:tcPr>
          <w:p>
            <w:r>
              <w:rPr>
                <w:rFonts w:eastAsia="游明朝"/>
                <w:rFonts w:ascii="游明朝" w:hAnsi="游明朝"/>
                <w:b/>
                <w:color w:val="1F3864"/>
                <w:sz w:val="20"/>
              </w:rPr>
              <w:t>労基法 第106条</w:t>
            </w:r>
          </w:p>
        </w:tc>
        <w:tc>
          <w:tcPr>
            <w:tcW w:type="dxa" w:w="4536"/>
          </w:tcPr>
          <w:p>
            <w:r>
              <w:rPr>
                <w:rFonts w:eastAsia="游明朝"/>
                <w:rFonts w:ascii="游明朝" w:hAnsi="游明朝"/>
                <w:b w:val="0"/>
                <w:color w:val="595959"/>
                <w:sz w:val="20"/>
              </w:rPr>
              <w:t>就業規則の労働者への周知義務（10人未満も適用）</w:t>
            </w:r>
          </w:p>
        </w:tc>
      </w:tr>
      <w:tr>
        <w:tc>
          <w:tcPr>
            <w:tcW w:type="dxa" w:w="4536"/>
            <w:shd w:val="clear" w:color="auto" w:fill="DCE6F1"/>
          </w:tcPr>
          <w:p>
            <w:r>
              <w:rPr>
                <w:rFonts w:eastAsia="游明朝"/>
                <w:rFonts w:ascii="游明朝" w:hAnsi="游明朝"/>
                <w:b/>
                <w:color w:val="1F3864"/>
                <w:sz w:val="20"/>
              </w:rPr>
              <w:t>労働契約法 第7条</w:t>
            </w:r>
          </w:p>
        </w:tc>
        <w:tc>
          <w:tcPr>
            <w:tcW w:type="dxa" w:w="4536"/>
          </w:tcPr>
          <w:p>
            <w:r>
              <w:rPr>
                <w:rFonts w:eastAsia="游明朝"/>
                <w:rFonts w:ascii="游明朝" w:hAnsi="游明朝"/>
                <w:b w:val="0"/>
                <w:color w:val="595959"/>
                <w:sz w:val="20"/>
              </w:rPr>
              <w:t>就業規則が労働契約の内容となる条件を規定</w:t>
            </w:r>
          </w:p>
        </w:tc>
      </w:tr>
      <w:tr>
        <w:tc>
          <w:tcPr>
            <w:tcW w:type="dxa" w:w="4536"/>
            <w:shd w:val="clear" w:color="auto" w:fill="DCE6F1"/>
          </w:tcPr>
          <w:p>
            <w:r>
              <w:rPr>
                <w:rFonts w:eastAsia="游明朝"/>
                <w:rFonts w:ascii="游明朝" w:hAnsi="游明朝"/>
                <w:b/>
                <w:color w:val="1F3864"/>
                <w:sz w:val="20"/>
              </w:rPr>
              <w:t>労働契約法 第10条</w:t>
            </w:r>
          </w:p>
        </w:tc>
        <w:tc>
          <w:tcPr>
            <w:tcW w:type="dxa" w:w="4536"/>
          </w:tcPr>
          <w:p>
            <w:r>
              <w:rPr>
                <w:rFonts w:eastAsia="游明朝"/>
                <w:rFonts w:ascii="游明朝" w:hAnsi="游明朝"/>
                <w:b w:val="0"/>
                <w:color w:val="595959"/>
                <w:sz w:val="20"/>
              </w:rPr>
              <w:t>就業規則変更による不利益変更の要件を規定</w:t>
            </w:r>
          </w:p>
        </w:tc>
      </w:tr>
    </w:tbl>
    <w:p/>
    <w:p>
      <w:pPr>
        <w:spacing w:before="280" w:after="120"/>
        <w:ind w:left="0"/>
        <w:pBdr>
          <w:bottom w:val="single" w:sz="6" w:space="4" w:color="1F3864"/>
        </w:pBdr>
      </w:pPr>
      <w:r>
        <w:rPr>
          <w:rFonts w:eastAsia="游明朝"/>
          <w:rFonts w:ascii="游明朝" w:hAnsi="游明朝"/>
          <w:b/>
          <w:color w:val="1F3864"/>
          <w:sz w:val="32"/>
        </w:rPr>
        <w:t>第２章　就業規則未整備による主なリスク</w:t>
      </w:r>
    </w:p>
    <w:p>
      <w:pPr>
        <w:spacing w:before="160" w:after="60"/>
        <w:ind w:left="283"/>
      </w:pPr>
      <w:r>
        <w:rPr>
          <w:rFonts w:eastAsia="游明朝"/>
          <w:rFonts w:ascii="游明朝" w:hAnsi="游明朝"/>
          <w:b/>
          <w:color w:val="C00000"/>
          <w:sz w:val="22"/>
        </w:rPr>
        <w:t>◆ リスク① 懲戒処分が法的に無効となるリスク</w:t>
      </w:r>
    </w:p>
    <w:p>
      <w:pPr>
        <w:spacing w:before="0" w:after="80"/>
        <w:ind w:left="454"/>
      </w:pPr>
      <w:r>
        <w:rPr>
          <w:rFonts w:eastAsia="游明朝"/>
          <w:rFonts w:ascii="游明朝" w:hAnsi="游明朝"/>
          <w:b/>
          <w:color w:val="C00000"/>
          <w:sz w:val="20"/>
        </w:rPr>
        <w:t>深刻度：★★★（深刻）</w:t>
      </w:r>
    </w:p>
    <w:p>
      <w:pPr>
        <w:spacing w:before="40" w:after="40" w:line="320" w:lineRule="exact"/>
        <w:ind w:left="454"/>
      </w:pPr>
      <w:r>
        <w:rPr>
          <w:rFonts w:eastAsia="游明朝"/>
          <w:rFonts w:ascii="游明朝" w:hAnsi="游明朝"/>
          <w:b w:val="0"/>
          <w:color w:val="595959"/>
          <w:sz w:val="21"/>
        </w:rPr>
        <w:t>裁判所・労働審判の判例（フジ興産事件・最高裁2003年）では、「懲戒処分は就業規則等に懲戒事由と処分の種類が明記されていることが有効要件」とされています。</w:t>
      </w:r>
    </w:p>
    <w:p>
      <w:pPr>
        <w:spacing w:before="20" w:after="20" w:line="300" w:lineRule="exact"/>
        <w:ind w:left="567" w:hanging="227"/>
      </w:pPr>
      <w:r>
        <w:rPr>
          <w:rFonts w:eastAsia="游明朝"/>
          <w:rFonts w:ascii="游明朝" w:hAnsi="游明朝"/>
          <w:b w:val="0"/>
          <w:color w:val="595959"/>
          <w:sz w:val="21"/>
        </w:rPr>
        <w:t>・　問題社員への減給・出勤停止・懲戒解雇が就業規則なしでは無効と判断される可能性が高い</w:t>
      </w:r>
    </w:p>
    <w:p>
      <w:pPr>
        <w:spacing w:before="20" w:after="20" w:line="300" w:lineRule="exact"/>
        <w:ind w:left="567" w:hanging="227"/>
      </w:pPr>
      <w:r>
        <w:rPr>
          <w:rFonts w:eastAsia="游明朝"/>
          <w:rFonts w:ascii="游明朝" w:hAnsi="游明朝"/>
          <w:b w:val="0"/>
          <w:color w:val="595959"/>
          <w:sz w:val="21"/>
        </w:rPr>
        <w:t>・　解雇無効と判断された場合、解雇期間中の賃金（バックペイ）を全額支払う義務が生じる</w:t>
      </w:r>
    </w:p>
    <w:p>
      <w:pPr>
        <w:spacing w:before="20" w:after="20" w:line="300" w:lineRule="exact"/>
        <w:ind w:left="567" w:hanging="227"/>
      </w:pPr>
      <w:r>
        <w:rPr>
          <w:rFonts w:eastAsia="游明朝"/>
          <w:rFonts w:ascii="游明朝" w:hAnsi="游明朝"/>
          <w:b w:val="0"/>
          <w:color w:val="595959"/>
          <w:sz w:val="21"/>
        </w:rPr>
        <w:t>・　訴訟費用・弁護士費用を含めた経営的ダメージは中小企業にとって致命的となり得る</w:t>
      </w:r>
    </w:p>
    <w:p>
      <w:pPr>
        <w:spacing w:before="160" w:after="60"/>
        <w:ind w:left="283"/>
      </w:pPr>
      <w:r>
        <w:rPr>
          <w:rFonts w:eastAsia="游明朝"/>
          <w:rFonts w:ascii="游明朝" w:hAnsi="游明朝"/>
          <w:b/>
          <w:color w:val="C00000"/>
          <w:sz w:val="22"/>
        </w:rPr>
        <w:t>◆ リスク② 解雇・雇止めトラブルへの対応力低下</w:t>
      </w:r>
    </w:p>
    <w:p>
      <w:pPr>
        <w:spacing w:before="0" w:after="80"/>
        <w:ind w:left="454"/>
      </w:pPr>
      <w:r>
        <w:rPr>
          <w:rFonts w:eastAsia="游明朝"/>
          <w:rFonts w:ascii="游明朝" w:hAnsi="游明朝"/>
          <w:b/>
          <w:color w:val="C00000"/>
          <w:sz w:val="20"/>
        </w:rPr>
        <w:t>深刻度：★★★（深刻）</w:t>
      </w:r>
    </w:p>
    <w:p>
      <w:pPr>
        <w:spacing w:before="40" w:after="40" w:line="320" w:lineRule="exact"/>
        <w:ind w:left="454"/>
      </w:pPr>
      <w:r>
        <w:rPr>
          <w:rFonts w:eastAsia="游明朝"/>
          <w:rFonts w:ascii="游明朝" w:hAnsi="游明朝"/>
          <w:b w:val="0"/>
          <w:color w:val="595959"/>
          <w:sz w:val="21"/>
        </w:rPr>
        <w:t>解雇の理由・手続き・予告期間などのルールが書面で存在しないため、「不当解雇」を主張された際に会社側の法的根拠が著しく弱くなります。</w:t>
      </w:r>
    </w:p>
    <w:p>
      <w:pPr>
        <w:spacing w:before="20" w:after="20" w:line="300" w:lineRule="exact"/>
        <w:ind w:left="567" w:hanging="227"/>
      </w:pPr>
      <w:r>
        <w:rPr>
          <w:rFonts w:eastAsia="游明朝"/>
          <w:rFonts w:ascii="游明朝" w:hAnsi="游明朝"/>
          <w:b w:val="0"/>
          <w:color w:val="595959"/>
          <w:sz w:val="21"/>
        </w:rPr>
        <w:t>・　有期契約の更新・雇止めの基準が不明確で、労働審判・訴訟で不利な立場になりやすい</w:t>
      </w:r>
    </w:p>
    <w:p>
      <w:pPr>
        <w:spacing w:before="20" w:after="20" w:line="300" w:lineRule="exact"/>
        <w:ind w:left="567" w:hanging="227"/>
      </w:pPr>
      <w:r>
        <w:rPr>
          <w:rFonts w:eastAsia="游明朝"/>
          <w:rFonts w:ascii="游明朝" w:hAnsi="游明朝"/>
          <w:b w:val="0"/>
          <w:color w:val="595959"/>
          <w:sz w:val="21"/>
        </w:rPr>
        <w:t>・　口頭のみの約束では「言った・言わない」の水掛け論となり、証拠能力がない</w:t>
      </w:r>
    </w:p>
    <w:p>
      <w:pPr>
        <w:spacing w:before="20" w:after="20" w:line="300" w:lineRule="exact"/>
        <w:ind w:left="567" w:hanging="227"/>
      </w:pPr>
      <w:r>
        <w:rPr>
          <w:rFonts w:eastAsia="游明朝"/>
          <w:rFonts w:ascii="游明朝" w:hAnsi="游明朝"/>
          <w:b w:val="0"/>
          <w:color w:val="595959"/>
          <w:sz w:val="21"/>
        </w:rPr>
        <w:t>・　労働基準監督署の調査時に書面根拠がなく、是正勧告・指導票を受けるリスクがある</w:t>
      </w:r>
    </w:p>
    <w:p>
      <w:pPr>
        <w:spacing w:before="160" w:after="60"/>
        <w:ind w:left="283"/>
      </w:pPr>
      <w:r>
        <w:rPr>
          <w:rFonts w:eastAsia="游明朝"/>
          <w:rFonts w:ascii="游明朝" w:hAnsi="游明朝"/>
          <w:b/>
          <w:color w:val="C00000"/>
          <w:sz w:val="22"/>
        </w:rPr>
        <w:t>◆ リスク③ 固定残業代（みなし残業）の無効リスク</w:t>
      </w:r>
    </w:p>
    <w:p>
      <w:pPr>
        <w:spacing w:before="0" w:after="80"/>
        <w:ind w:left="454"/>
      </w:pPr>
      <w:r>
        <w:rPr>
          <w:rFonts w:eastAsia="游明朝"/>
          <w:rFonts w:ascii="游明朝" w:hAnsi="游明朝"/>
          <w:b/>
          <w:color w:val="C00000"/>
          <w:sz w:val="20"/>
        </w:rPr>
        <w:t>深刻度：★★★（深刻）</w:t>
      </w:r>
    </w:p>
    <w:p>
      <w:pPr>
        <w:spacing w:before="40" w:after="40" w:line="320" w:lineRule="exact"/>
        <w:ind w:left="454"/>
      </w:pPr>
      <w:r>
        <w:rPr>
          <w:rFonts w:eastAsia="游明朝"/>
          <w:rFonts w:ascii="游明朝" w:hAnsi="游明朝"/>
          <w:b w:val="0"/>
          <w:color w:val="595959"/>
          <w:sz w:val="21"/>
        </w:rPr>
        <w:t>固定残業代を給与に含める場合、その計算根拠・対象時間数・超過時の追加払いルールが就業規則または労働条件通知書に明記されていることが有効要件のひとつです。</w:t>
      </w:r>
    </w:p>
    <w:p>
      <w:pPr>
        <w:spacing w:before="20" w:after="20" w:line="300" w:lineRule="exact"/>
        <w:ind w:left="567" w:hanging="227"/>
      </w:pPr>
      <w:r>
        <w:rPr>
          <w:rFonts w:eastAsia="游明朝"/>
          <w:rFonts w:ascii="游明朝" w:hAnsi="游明朝"/>
          <w:b w:val="0"/>
          <w:color w:val="595959"/>
          <w:sz w:val="21"/>
        </w:rPr>
        <w:t>・　就業規則がなく記載も不十分な場合、固定残業代が全額「基本給」と見なされる</w:t>
      </w:r>
    </w:p>
    <w:p>
      <w:pPr>
        <w:spacing w:before="20" w:after="20" w:line="300" w:lineRule="exact"/>
        <w:ind w:left="567" w:hanging="227"/>
      </w:pPr>
      <w:r>
        <w:rPr>
          <w:rFonts w:eastAsia="游明朝"/>
          <w:rFonts w:ascii="游明朝" w:hAnsi="游明朝"/>
          <w:b w:val="0"/>
          <w:color w:val="595959"/>
          <w:sz w:val="21"/>
        </w:rPr>
        <w:t>・　過去2〜3年分の未払い残業代＋遅延損害金の遡及請求を受けるリスクがある</w:t>
      </w:r>
    </w:p>
    <w:p>
      <w:pPr>
        <w:spacing w:before="20" w:after="20" w:line="300" w:lineRule="exact"/>
        <w:ind w:left="567" w:hanging="227"/>
      </w:pPr>
      <w:r>
        <w:rPr>
          <w:rFonts w:eastAsia="游明朝"/>
          <w:rFonts w:ascii="游明朝" w:hAnsi="游明朝"/>
          <w:b w:val="0"/>
          <w:color w:val="595959"/>
          <w:sz w:val="21"/>
        </w:rPr>
        <w:t>・　数年分の残業代請求は、従業員数名でも数百万〜数千万円規模になり得る</w:t>
      </w:r>
    </w:p>
    <w:p>
      <w:pPr>
        <w:spacing w:before="160" w:after="60"/>
        <w:ind w:left="283"/>
      </w:pPr>
      <w:r>
        <w:rPr>
          <w:rFonts w:eastAsia="游明朝"/>
          <w:rFonts w:ascii="游明朝" w:hAnsi="游明朝"/>
          <w:b/>
          <w:color w:val="C00000"/>
          <w:sz w:val="22"/>
        </w:rPr>
        <w:t>◆ リスク④ 変形労働時間制・フレックスタイム制を導入できない</w:t>
      </w:r>
    </w:p>
    <w:p>
      <w:pPr>
        <w:spacing w:before="0" w:after="80"/>
        <w:ind w:left="454"/>
      </w:pPr>
      <w:r>
        <w:rPr>
          <w:rFonts w:eastAsia="游明朝"/>
          <w:rFonts w:ascii="游明朝" w:hAnsi="游明朝"/>
          <w:b/>
          <w:color w:val="C00000"/>
          <w:sz w:val="20"/>
        </w:rPr>
        <w:t>深刻度：★★☆（中程度）</w:t>
      </w:r>
    </w:p>
    <w:p>
      <w:pPr>
        <w:spacing w:before="40" w:after="40" w:line="320" w:lineRule="exact"/>
        <w:ind w:left="454"/>
      </w:pPr>
      <w:r>
        <w:rPr>
          <w:rFonts w:eastAsia="游明朝"/>
          <w:rFonts w:ascii="游明朝" w:hAnsi="游明朝"/>
          <w:b w:val="0"/>
          <w:color w:val="595959"/>
          <w:sz w:val="21"/>
        </w:rPr>
        <w:t>シフト制や繁閑対応の柔軟な勤務体系を導入するには、就業規則への記載が労働基準法上の要件となっています（第32条の2・32条の4等）。</w:t>
      </w:r>
    </w:p>
    <w:p>
      <w:pPr>
        <w:spacing w:before="20" w:after="20" w:line="300" w:lineRule="exact"/>
        <w:ind w:left="567" w:hanging="227"/>
      </w:pPr>
      <w:r>
        <w:rPr>
          <w:rFonts w:eastAsia="游明朝"/>
          <w:rFonts w:ascii="游明朝" w:hAnsi="游明朝"/>
          <w:b w:val="0"/>
          <w:color w:val="595959"/>
          <w:sz w:val="21"/>
        </w:rPr>
        <w:t>・　就業規則なしに変形労働時間制を運用しても法的効力がなく、全時間に残業代が発生する</w:t>
      </w:r>
    </w:p>
    <w:p>
      <w:pPr>
        <w:spacing w:before="20" w:after="20" w:line="300" w:lineRule="exact"/>
        <w:ind w:left="567" w:hanging="227"/>
      </w:pPr>
      <w:r>
        <w:rPr>
          <w:rFonts w:eastAsia="游明朝"/>
          <w:rFonts w:ascii="游明朝" w:hAnsi="游明朝"/>
          <w:b w:val="0"/>
          <w:color w:val="595959"/>
          <w:sz w:val="21"/>
        </w:rPr>
        <w:t>・　季節・繁閑に合わせた人員配置の最適化ができず、余分な人件費が発生する</w:t>
      </w:r>
    </w:p>
    <w:p>
      <w:pPr>
        <w:spacing w:before="160" w:after="60"/>
        <w:ind w:left="283"/>
      </w:pPr>
      <w:r>
        <w:rPr>
          <w:rFonts w:eastAsia="游明朝"/>
          <w:rFonts w:ascii="游明朝" w:hAnsi="游明朝"/>
          <w:b/>
          <w:color w:val="C00000"/>
          <w:sz w:val="22"/>
        </w:rPr>
        <w:t>◆ リスク⑤ 雇用関係助成金を受給できない</w:t>
      </w:r>
    </w:p>
    <w:p>
      <w:pPr>
        <w:spacing w:before="0" w:after="80"/>
        <w:ind w:left="454"/>
      </w:pPr>
      <w:r>
        <w:rPr>
          <w:rFonts w:eastAsia="游明朝"/>
          <w:rFonts w:ascii="游明朝" w:hAnsi="游明朝"/>
          <w:b/>
          <w:color w:val="C00000"/>
          <w:sz w:val="20"/>
        </w:rPr>
        <w:t>深刻度：★★☆（中程度）</w:t>
      </w:r>
    </w:p>
    <w:p>
      <w:pPr>
        <w:spacing w:before="40" w:after="40" w:line="320" w:lineRule="exact"/>
        <w:ind w:left="454"/>
      </w:pPr>
      <w:r>
        <w:rPr>
          <w:rFonts w:eastAsia="游明朝"/>
          <w:rFonts w:ascii="游明朝" w:hAnsi="游明朝"/>
          <w:b w:val="0"/>
          <w:color w:val="595959"/>
          <w:sz w:val="21"/>
        </w:rPr>
        <w:t>厚生労働省の多くの雇用関係助成金では、就業規則の整備・届出が申請要件に含まれています。整備していないだけで申請資格を失います。</w:t>
      </w:r>
    </w:p>
    <w:p>
      <w:pPr>
        <w:spacing w:before="20" w:after="20" w:line="300" w:lineRule="exact"/>
        <w:ind w:left="567" w:hanging="227"/>
      </w:pPr>
      <w:r>
        <w:rPr>
          <w:rFonts w:eastAsia="游明朝"/>
          <w:rFonts w:ascii="游明朝" w:hAnsi="游明朝"/>
          <w:b w:val="0"/>
          <w:color w:val="595959"/>
          <w:sz w:val="21"/>
        </w:rPr>
        <w:t>・　キャリアアップ助成金（正社員転換コース）：非正規→正規転換で最大80万円/人</w:t>
      </w:r>
    </w:p>
    <w:p>
      <w:pPr>
        <w:spacing w:before="20" w:after="20" w:line="300" w:lineRule="exact"/>
        <w:ind w:left="567" w:hanging="227"/>
      </w:pPr>
      <w:r>
        <w:rPr>
          <w:rFonts w:eastAsia="游明朝"/>
          <w:rFonts w:ascii="游明朝" w:hAnsi="游明朝"/>
          <w:b w:val="0"/>
          <w:color w:val="595959"/>
          <w:sz w:val="21"/>
        </w:rPr>
        <w:t>・　両立支援等助成金：育児・介護休業制度整備で最大100万円</w:t>
      </w:r>
    </w:p>
    <w:p>
      <w:pPr>
        <w:spacing w:before="20" w:after="20" w:line="300" w:lineRule="exact"/>
        <w:ind w:left="567" w:hanging="227"/>
      </w:pPr>
      <w:r>
        <w:rPr>
          <w:rFonts w:eastAsia="游明朝"/>
          <w:rFonts w:ascii="游明朝" w:hAnsi="游明朝"/>
          <w:b w:val="0"/>
          <w:color w:val="595959"/>
          <w:sz w:val="21"/>
        </w:rPr>
        <w:t>・　人材確保等支援助成金：処遇改善で最大570万円</w:t>
      </w:r>
    </w:p>
    <w:p>
      <w:pPr>
        <w:spacing w:before="20" w:after="20" w:line="300" w:lineRule="exact"/>
        <w:ind w:left="567" w:hanging="227"/>
      </w:pPr>
      <w:r>
        <w:rPr>
          <w:rFonts w:eastAsia="游明朝"/>
          <w:rFonts w:ascii="游明朝" w:hAnsi="游明朝"/>
          <w:b w:val="0"/>
          <w:color w:val="595959"/>
          <w:sz w:val="21"/>
        </w:rPr>
        <w:t>・　就業規則がないだけで、これらの受給機会を逃すことになる</w:t>
      </w:r>
    </w:p>
    <w:p>
      <w:pPr>
        <w:spacing w:before="160" w:after="60"/>
        <w:ind w:left="283"/>
      </w:pPr>
      <w:r>
        <w:rPr>
          <w:rFonts w:eastAsia="游明朝"/>
          <w:rFonts w:ascii="游明朝" w:hAnsi="游明朝"/>
          <w:b/>
          <w:color w:val="C00000"/>
          <w:sz w:val="22"/>
        </w:rPr>
        <w:t>◆ リスク⑥ 採用力・人材定着率の低下</w:t>
      </w:r>
    </w:p>
    <w:p>
      <w:pPr>
        <w:spacing w:before="0" w:after="80"/>
        <w:ind w:left="454"/>
      </w:pPr>
      <w:r>
        <w:rPr>
          <w:rFonts w:eastAsia="游明朝"/>
          <w:rFonts w:ascii="游明朝" w:hAnsi="游明朝"/>
          <w:b/>
          <w:color w:val="C00000"/>
          <w:sz w:val="20"/>
        </w:rPr>
        <w:t>深刻度：★★☆（中程度）</w:t>
      </w:r>
    </w:p>
    <w:p>
      <w:pPr>
        <w:spacing w:before="40" w:after="40" w:line="320" w:lineRule="exact"/>
        <w:ind w:left="454"/>
      </w:pPr>
      <w:r>
        <w:rPr>
          <w:rFonts w:eastAsia="游明朝"/>
          <w:rFonts w:ascii="游明朝" w:hAnsi="游明朝"/>
          <w:b w:val="0"/>
          <w:color w:val="595959"/>
          <w:sz w:val="21"/>
        </w:rPr>
        <w:t>転職経験のある求職者は就業規則の開示を求めることがあります。開示できない場合、職場環境が不透明と判断され、優秀な人材の採用に影響します。</w:t>
      </w:r>
    </w:p>
    <w:p>
      <w:pPr>
        <w:spacing w:before="20" w:after="20" w:line="300" w:lineRule="exact"/>
        <w:ind w:left="567" w:hanging="227"/>
      </w:pPr>
      <w:r>
        <w:rPr>
          <w:rFonts w:eastAsia="游明朝"/>
          <w:rFonts w:ascii="游明朝" w:hAnsi="游明朝"/>
          <w:b w:val="0"/>
          <w:color w:val="595959"/>
          <w:sz w:val="21"/>
        </w:rPr>
        <w:t>・　「ブラック企業」と誤解されるリスクがあり、採用競争力が低下する</w:t>
      </w:r>
    </w:p>
    <w:p>
      <w:pPr>
        <w:spacing w:before="20" w:after="20" w:line="300" w:lineRule="exact"/>
        <w:ind w:left="567" w:hanging="227"/>
      </w:pPr>
      <w:r>
        <w:rPr>
          <w:rFonts w:eastAsia="游明朝"/>
          <w:rFonts w:ascii="游明朝" w:hAnsi="游明朝"/>
          <w:b w:val="0"/>
          <w:color w:val="595959"/>
          <w:sz w:val="21"/>
        </w:rPr>
        <w:t>・　入社後に労働条件のミスマッチが発覚し、早期離職・採用コストの無駄が増える</w:t>
      </w:r>
    </w:p>
    <w:p>
      <w:pPr>
        <w:spacing w:before="20" w:after="20" w:line="300" w:lineRule="exact"/>
        <w:ind w:left="567" w:hanging="227"/>
      </w:pPr>
      <w:r>
        <w:rPr>
          <w:rFonts w:eastAsia="游明朝"/>
          <w:rFonts w:ascii="游明朝" w:hAnsi="游明朝"/>
          <w:b w:val="0"/>
          <w:color w:val="595959"/>
          <w:sz w:val="21"/>
        </w:rPr>
        <w:t>・　従業員が自分の権利を確認できず、不安・不満から離職率が上がりやすい</w:t>
      </w:r>
    </w:p>
    <w:p>
      <w:pPr>
        <w:spacing w:before="160" w:after="60"/>
        <w:ind w:left="283"/>
      </w:pPr>
      <w:r>
        <w:rPr>
          <w:rFonts w:eastAsia="游明朝"/>
          <w:rFonts w:ascii="游明朝" w:hAnsi="游明朝"/>
          <w:b/>
          <w:color w:val="C00000"/>
          <w:sz w:val="22"/>
        </w:rPr>
        <w:t>◆ リスク⑦ 10人到達時に即日義務発生・未届出は罰則あり</w:t>
      </w:r>
    </w:p>
    <w:p>
      <w:pPr>
        <w:spacing w:before="0" w:after="80"/>
        <w:ind w:left="454"/>
      </w:pPr>
      <w:r>
        <w:rPr>
          <w:rFonts w:eastAsia="游明朝"/>
          <w:rFonts w:ascii="游明朝" w:hAnsi="游明朝"/>
          <w:b/>
          <w:color w:val="C00000"/>
          <w:sz w:val="20"/>
        </w:rPr>
        <w:t>深刻度：★★☆（中程度）</w:t>
      </w:r>
    </w:p>
    <w:p>
      <w:pPr>
        <w:spacing w:before="40" w:after="40" w:line="320" w:lineRule="exact"/>
        <w:ind w:left="454"/>
      </w:pPr>
      <w:r>
        <w:rPr>
          <w:rFonts w:eastAsia="游明朝"/>
          <w:rFonts w:ascii="游明朝" w:hAnsi="游明朝"/>
          <w:b w:val="0"/>
          <w:color w:val="595959"/>
          <w:sz w:val="21"/>
        </w:rPr>
        <w:t>従業員が10人以上となった時点で、就業規則の作成・届出義務が即日発生します。未届出のまま放置した場合、労働基準法第120条により罰則が適用されます。</w:t>
      </w:r>
    </w:p>
    <w:p>
      <w:pPr>
        <w:spacing w:before="20" w:after="20" w:line="300" w:lineRule="exact"/>
        <w:ind w:left="567" w:hanging="227"/>
      </w:pPr>
      <w:r>
        <w:rPr>
          <w:rFonts w:eastAsia="游明朝"/>
          <w:rFonts w:ascii="游明朝" w:hAnsi="游明朝"/>
          <w:b w:val="0"/>
          <w:color w:val="595959"/>
          <w:sz w:val="21"/>
        </w:rPr>
        <w:t>・　違反した場合：30万円以下の罰金（労基法第120条）</w:t>
      </w:r>
    </w:p>
    <w:p>
      <w:pPr>
        <w:spacing w:before="20" w:after="20" w:line="300" w:lineRule="exact"/>
        <w:ind w:left="567" w:hanging="227"/>
      </w:pPr>
      <w:r>
        <w:rPr>
          <w:rFonts w:eastAsia="游明朝"/>
          <w:rFonts w:ascii="游明朝" w:hAnsi="游明朝"/>
          <w:b w:val="0"/>
          <w:color w:val="595959"/>
          <w:sz w:val="21"/>
        </w:rPr>
        <w:t>・　事前に整備しておけば、10人到達後に慌てて作成するコスト・リスクを避けられる</w:t>
      </w:r>
    </w:p>
    <w:p>
      <w:pPr>
        <w:spacing w:before="20" w:after="20" w:line="300" w:lineRule="exact"/>
        <w:ind w:left="567" w:hanging="227"/>
      </w:pPr>
      <w:r>
        <w:rPr>
          <w:rFonts w:eastAsia="游明朝"/>
          <w:rFonts w:ascii="游明朝" w:hAnsi="游明朝"/>
          <w:b w:val="0"/>
          <w:color w:val="595959"/>
          <w:sz w:val="21"/>
        </w:rPr>
        <w:t>・　従業員数の変動が多い成長企業ほど、早期整備が重要</w:t>
      </w:r>
    </w:p>
    <w:p/>
    <w:p>
      <w:pPr>
        <w:spacing w:before="280" w:after="120"/>
        <w:ind w:left="0"/>
        <w:pBdr>
          <w:bottom w:val="single" w:sz="6" w:space="4" w:color="1F3864"/>
        </w:pBdr>
      </w:pPr>
      <w:r>
        <w:rPr>
          <w:rFonts w:eastAsia="游明朝"/>
          <w:rFonts w:ascii="游明朝" w:hAnsi="游明朝"/>
          <w:b/>
          <w:color w:val="1F3864"/>
          <w:sz w:val="32"/>
        </w:rPr>
        <w:t>第３章　リスク一覧サマリー</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864"/>
          </w:tcPr>
          <w:p>
            <w:pPr>
              <w:jc w:val="center"/>
            </w:pPr>
            <w:r>
              <w:rPr>
                <w:rFonts w:eastAsia="游明朝"/>
                <w:rFonts w:ascii="游明朝" w:hAnsi="游明朝"/>
                <w:b/>
                <w:color w:val="FFFFFF"/>
                <w:sz w:val="20"/>
              </w:rPr>
              <w:t>リスク項目</w:t>
            </w:r>
          </w:p>
        </w:tc>
        <w:tc>
          <w:tcPr>
            <w:tcW w:type="dxa" w:w="3024"/>
            <w:shd w:val="clear" w:color="auto" w:fill="1F3864"/>
          </w:tcPr>
          <w:p>
            <w:pPr>
              <w:jc w:val="center"/>
            </w:pPr>
            <w:r>
              <w:rPr>
                <w:rFonts w:eastAsia="游明朝"/>
                <w:rFonts w:ascii="游明朝" w:hAnsi="游明朝"/>
                <w:b/>
                <w:color w:val="FFFFFF"/>
                <w:sz w:val="20"/>
              </w:rPr>
              <w:t>具体的な影響</w:t>
            </w:r>
          </w:p>
        </w:tc>
        <w:tc>
          <w:tcPr>
            <w:tcW w:type="dxa" w:w="3024"/>
            <w:shd w:val="clear" w:color="auto" w:fill="1F3864"/>
          </w:tcPr>
          <w:p>
            <w:pPr>
              <w:jc w:val="center"/>
            </w:pPr>
            <w:r>
              <w:rPr>
                <w:rFonts w:eastAsia="游明朝"/>
                <w:rFonts w:ascii="游明朝" w:hAnsi="游明朝"/>
                <w:b/>
                <w:color w:val="FFFFFF"/>
                <w:sz w:val="20"/>
              </w:rPr>
              <w:t>深刻度</w:t>
            </w:r>
          </w:p>
        </w:tc>
      </w:tr>
      <w:tr>
        <w:tc>
          <w:tcPr>
            <w:tcW w:type="dxa" w:w="3024"/>
            <w:shd w:val="clear" w:color="auto" w:fill="FFE0E0"/>
          </w:tcPr>
          <w:p>
            <w:r>
              <w:rPr>
                <w:rFonts w:eastAsia="游明朝"/>
                <w:rFonts w:ascii="游明朝" w:hAnsi="游明朝"/>
                <w:b/>
                <w:color w:val="1F3864"/>
                <w:sz w:val="20"/>
              </w:rPr>
              <w:t>懲戒処分の無効</w:t>
            </w:r>
          </w:p>
        </w:tc>
        <w:tc>
          <w:tcPr>
            <w:tcW w:type="dxa" w:w="3024"/>
            <w:shd w:val="clear" w:color="auto" w:fill="FFE0E0"/>
          </w:tcPr>
          <w:p>
            <w:r>
              <w:rPr>
                <w:rFonts w:eastAsia="游明朝"/>
                <w:rFonts w:ascii="游明朝" w:hAnsi="游明朝"/>
                <w:b w:val="0"/>
                <w:color w:val="595959"/>
                <w:sz w:val="20"/>
              </w:rPr>
              <w:t>問題社員への対処不能・バックペイ請求</w:t>
            </w:r>
          </w:p>
        </w:tc>
        <w:tc>
          <w:tcPr>
            <w:tcW w:type="dxa" w:w="3024"/>
            <w:shd w:val="clear" w:color="auto" w:fill="FFE0E0"/>
          </w:tcPr>
          <w:p>
            <w:pPr>
              <w:jc w:val="center"/>
            </w:pPr>
            <w:r>
              <w:rPr>
                <w:rFonts w:eastAsia="游明朝"/>
                <w:rFonts w:ascii="游明朝" w:hAnsi="游明朝"/>
                <w:b/>
                <w:color w:val="C00000"/>
                <w:sz w:val="20"/>
              </w:rPr>
              <w:t>★★★</w:t>
            </w:r>
          </w:p>
        </w:tc>
      </w:tr>
      <w:tr>
        <w:tc>
          <w:tcPr>
            <w:tcW w:type="dxa" w:w="3024"/>
            <w:shd w:val="clear" w:color="auto" w:fill="FFE0E0"/>
          </w:tcPr>
          <w:p>
            <w:r>
              <w:rPr>
                <w:rFonts w:eastAsia="游明朝"/>
                <w:rFonts w:ascii="游明朝" w:hAnsi="游明朝"/>
                <w:b/>
                <w:color w:val="1F3864"/>
                <w:sz w:val="20"/>
              </w:rPr>
              <w:t>解雇トラブル</w:t>
            </w:r>
          </w:p>
        </w:tc>
        <w:tc>
          <w:tcPr>
            <w:tcW w:type="dxa" w:w="3024"/>
            <w:shd w:val="clear" w:color="auto" w:fill="FFE0E0"/>
          </w:tcPr>
          <w:p>
            <w:r>
              <w:rPr>
                <w:rFonts w:eastAsia="游明朝"/>
                <w:rFonts w:ascii="游明朝" w:hAnsi="游明朝"/>
                <w:b w:val="0"/>
                <w:color w:val="595959"/>
                <w:sz w:val="20"/>
              </w:rPr>
              <w:t>不当解雇訴訟・バックペイ・復職命令</w:t>
            </w:r>
          </w:p>
        </w:tc>
        <w:tc>
          <w:tcPr>
            <w:tcW w:type="dxa" w:w="3024"/>
            <w:shd w:val="clear" w:color="auto" w:fill="FFE0E0"/>
          </w:tcPr>
          <w:p>
            <w:pPr>
              <w:jc w:val="center"/>
            </w:pPr>
            <w:r>
              <w:rPr>
                <w:rFonts w:eastAsia="游明朝"/>
                <w:rFonts w:ascii="游明朝" w:hAnsi="游明朝"/>
                <w:b/>
                <w:color w:val="C00000"/>
                <w:sz w:val="20"/>
              </w:rPr>
              <w:t>★★★</w:t>
            </w:r>
          </w:p>
        </w:tc>
      </w:tr>
      <w:tr>
        <w:tc>
          <w:tcPr>
            <w:tcW w:type="dxa" w:w="3024"/>
            <w:shd w:val="clear" w:color="auto" w:fill="FFE0E0"/>
          </w:tcPr>
          <w:p>
            <w:r>
              <w:rPr>
                <w:rFonts w:eastAsia="游明朝"/>
                <w:rFonts w:ascii="游明朝" w:hAnsi="游明朝"/>
                <w:b/>
                <w:color w:val="1F3864"/>
                <w:sz w:val="20"/>
              </w:rPr>
              <w:t>固定残業代の無効</w:t>
            </w:r>
          </w:p>
        </w:tc>
        <w:tc>
          <w:tcPr>
            <w:tcW w:type="dxa" w:w="3024"/>
            <w:shd w:val="clear" w:color="auto" w:fill="FFE0E0"/>
          </w:tcPr>
          <w:p>
            <w:r>
              <w:rPr>
                <w:rFonts w:eastAsia="游明朝"/>
                <w:rFonts w:ascii="游明朝" w:hAnsi="游明朝"/>
                <w:b w:val="0"/>
                <w:color w:val="595959"/>
                <w:sz w:val="20"/>
              </w:rPr>
              <w:t>数年分の未払い残業代の遡及請求</w:t>
            </w:r>
          </w:p>
        </w:tc>
        <w:tc>
          <w:tcPr>
            <w:tcW w:type="dxa" w:w="3024"/>
            <w:shd w:val="clear" w:color="auto" w:fill="FFE0E0"/>
          </w:tcPr>
          <w:p>
            <w:pPr>
              <w:jc w:val="center"/>
            </w:pPr>
            <w:r>
              <w:rPr>
                <w:rFonts w:eastAsia="游明朝"/>
                <w:rFonts w:ascii="游明朝" w:hAnsi="游明朝"/>
                <w:b/>
                <w:color w:val="C00000"/>
                <w:sz w:val="20"/>
              </w:rPr>
              <w:t>★★★</w:t>
            </w:r>
          </w:p>
        </w:tc>
      </w:tr>
      <w:tr>
        <w:tc>
          <w:tcPr>
            <w:tcW w:type="dxa" w:w="3024"/>
            <w:shd w:val="clear" w:color="auto" w:fill="FFF9E6"/>
          </w:tcPr>
          <w:p>
            <w:r>
              <w:rPr>
                <w:rFonts w:eastAsia="游明朝"/>
                <w:rFonts w:ascii="游明朝" w:hAnsi="游明朝"/>
                <w:b/>
                <w:color w:val="1F3864"/>
                <w:sz w:val="20"/>
              </w:rPr>
              <w:t>変形労働時間制の不可</w:t>
            </w:r>
          </w:p>
        </w:tc>
        <w:tc>
          <w:tcPr>
            <w:tcW w:type="dxa" w:w="3024"/>
            <w:shd w:val="clear" w:color="auto" w:fill="FFF9E6"/>
          </w:tcPr>
          <w:p>
            <w:r>
              <w:rPr>
                <w:rFonts w:eastAsia="游明朝"/>
                <w:rFonts w:ascii="游明朝" w:hAnsi="游明朝"/>
                <w:b w:val="0"/>
                <w:color w:val="595959"/>
                <w:sz w:val="20"/>
              </w:rPr>
              <w:t>余分な残業代の発生・人件費増</w:t>
            </w:r>
          </w:p>
        </w:tc>
        <w:tc>
          <w:tcPr>
            <w:tcW w:type="dxa" w:w="3024"/>
            <w:shd w:val="clear" w:color="auto" w:fill="FFF9E6"/>
          </w:tcPr>
          <w:p>
            <w:pPr>
              <w:jc w:val="center"/>
            </w:pPr>
            <w:r>
              <w:rPr>
                <w:rFonts w:eastAsia="游明朝"/>
                <w:rFonts w:ascii="游明朝" w:hAnsi="游明朝"/>
                <w:b/>
                <w:color w:val="C00000"/>
                <w:sz w:val="20"/>
              </w:rPr>
              <w:t>★★☆</w:t>
            </w:r>
          </w:p>
        </w:tc>
      </w:tr>
      <w:tr>
        <w:tc>
          <w:tcPr>
            <w:tcW w:type="dxa" w:w="3024"/>
            <w:shd w:val="clear" w:color="auto" w:fill="FFF9E6"/>
          </w:tcPr>
          <w:p>
            <w:r>
              <w:rPr>
                <w:rFonts w:eastAsia="游明朝"/>
                <w:rFonts w:ascii="游明朝" w:hAnsi="游明朝"/>
                <w:b/>
                <w:color w:val="1F3864"/>
                <w:sz w:val="20"/>
              </w:rPr>
              <w:t>助成金の不受給</w:t>
            </w:r>
          </w:p>
        </w:tc>
        <w:tc>
          <w:tcPr>
            <w:tcW w:type="dxa" w:w="3024"/>
            <w:shd w:val="clear" w:color="auto" w:fill="FFF9E6"/>
          </w:tcPr>
          <w:p>
            <w:r>
              <w:rPr>
                <w:rFonts w:eastAsia="游明朝"/>
                <w:rFonts w:ascii="游明朝" w:hAnsi="游明朝"/>
                <w:b w:val="0"/>
                <w:color w:val="595959"/>
                <w:sz w:val="20"/>
              </w:rPr>
              <w:t>数十万〜数百万円の機会損失</w:t>
            </w:r>
          </w:p>
        </w:tc>
        <w:tc>
          <w:tcPr>
            <w:tcW w:type="dxa" w:w="3024"/>
            <w:shd w:val="clear" w:color="auto" w:fill="FFF9E6"/>
          </w:tcPr>
          <w:p>
            <w:pPr>
              <w:jc w:val="center"/>
            </w:pPr>
            <w:r>
              <w:rPr>
                <w:rFonts w:eastAsia="游明朝"/>
                <w:rFonts w:ascii="游明朝" w:hAnsi="游明朝"/>
                <w:b/>
                <w:color w:val="C00000"/>
                <w:sz w:val="20"/>
              </w:rPr>
              <w:t>★★☆</w:t>
            </w:r>
          </w:p>
        </w:tc>
      </w:tr>
      <w:tr>
        <w:tc>
          <w:tcPr>
            <w:tcW w:type="dxa" w:w="3024"/>
            <w:shd w:val="clear" w:color="auto" w:fill="FFF9E6"/>
          </w:tcPr>
          <w:p>
            <w:r>
              <w:rPr>
                <w:rFonts w:eastAsia="游明朝"/>
                <w:rFonts w:ascii="游明朝" w:hAnsi="游明朝"/>
                <w:b/>
                <w:color w:val="1F3864"/>
                <w:sz w:val="20"/>
              </w:rPr>
              <w:t>採用力・定着率の低下</w:t>
            </w:r>
          </w:p>
        </w:tc>
        <w:tc>
          <w:tcPr>
            <w:tcW w:type="dxa" w:w="3024"/>
            <w:shd w:val="clear" w:color="auto" w:fill="FFF9E6"/>
          </w:tcPr>
          <w:p>
            <w:r>
              <w:rPr>
                <w:rFonts w:eastAsia="游明朝"/>
                <w:rFonts w:ascii="游明朝" w:hAnsi="游明朝"/>
                <w:b w:val="0"/>
                <w:color w:val="595959"/>
                <w:sz w:val="20"/>
              </w:rPr>
              <w:t>優秀な人材の確保困難・早期離職増加</w:t>
            </w:r>
          </w:p>
        </w:tc>
        <w:tc>
          <w:tcPr>
            <w:tcW w:type="dxa" w:w="3024"/>
            <w:shd w:val="clear" w:color="auto" w:fill="FFF9E6"/>
          </w:tcPr>
          <w:p>
            <w:pPr>
              <w:jc w:val="center"/>
            </w:pPr>
            <w:r>
              <w:rPr>
                <w:rFonts w:eastAsia="游明朝"/>
                <w:rFonts w:ascii="游明朝" w:hAnsi="游明朝"/>
                <w:b/>
                <w:color w:val="C00000"/>
                <w:sz w:val="20"/>
              </w:rPr>
              <w:t>★★☆</w:t>
            </w:r>
          </w:p>
        </w:tc>
      </w:tr>
      <w:tr>
        <w:tc>
          <w:tcPr>
            <w:tcW w:type="dxa" w:w="3024"/>
            <w:shd w:val="clear" w:color="auto" w:fill="FFF9E6"/>
          </w:tcPr>
          <w:p>
            <w:r>
              <w:rPr>
                <w:rFonts w:eastAsia="游明朝"/>
                <w:rFonts w:ascii="游明朝" w:hAnsi="游明朝"/>
                <w:b/>
                <w:color w:val="1F3864"/>
                <w:sz w:val="20"/>
              </w:rPr>
              <w:t>10人到達時の未届出罰則</w:t>
            </w:r>
          </w:p>
        </w:tc>
        <w:tc>
          <w:tcPr>
            <w:tcW w:type="dxa" w:w="3024"/>
            <w:shd w:val="clear" w:color="auto" w:fill="FFF9E6"/>
          </w:tcPr>
          <w:p>
            <w:r>
              <w:rPr>
                <w:rFonts w:eastAsia="游明朝"/>
                <w:rFonts w:ascii="游明朝" w:hAnsi="游明朝"/>
                <w:b w:val="0"/>
                <w:color w:val="595959"/>
                <w:sz w:val="20"/>
              </w:rPr>
              <w:t>30万円以下の罰金</w:t>
            </w:r>
          </w:p>
        </w:tc>
        <w:tc>
          <w:tcPr>
            <w:tcW w:type="dxa" w:w="3024"/>
            <w:shd w:val="clear" w:color="auto" w:fill="FFF9E6"/>
          </w:tcPr>
          <w:p>
            <w:pPr>
              <w:jc w:val="center"/>
            </w:pPr>
            <w:r>
              <w:rPr>
                <w:rFonts w:eastAsia="游明朝"/>
                <w:rFonts w:ascii="游明朝" w:hAnsi="游明朝"/>
                <w:b/>
                <w:color w:val="C00000"/>
                <w:sz w:val="20"/>
              </w:rPr>
              <w:t>★★☆</w:t>
            </w:r>
          </w:p>
        </w:tc>
      </w:tr>
    </w:tbl>
    <w:p/>
    <w:p>
      <w:pPr>
        <w:spacing w:before="280" w:after="120"/>
        <w:ind w:left="0"/>
        <w:pBdr>
          <w:bottom w:val="single" w:sz="6" w:space="4" w:color="1F3864"/>
        </w:pBdr>
      </w:pPr>
      <w:r>
        <w:rPr>
          <w:rFonts w:eastAsia="游明朝"/>
          <w:rFonts w:ascii="游明朝" w:hAnsi="游明朝"/>
          <w:b/>
          <w:color w:val="1F3864"/>
          <w:sz w:val="32"/>
        </w:rPr>
        <w:t>第４章　ご提案：就業規則の早期整備</w:t>
      </w:r>
    </w:p>
    <w:p>
      <w:pPr>
        <w:spacing w:before="40" w:after="40" w:line="320" w:lineRule="exact"/>
        <w:ind w:left="170"/>
      </w:pPr>
      <w:r>
        <w:rPr>
          <w:rFonts w:eastAsia="游明朝"/>
          <w:rFonts w:ascii="游明朝" w:hAnsi="游明朝"/>
          <w:b w:val="0"/>
          <w:color w:val="595959"/>
          <w:sz w:val="21"/>
        </w:rPr>
        <w:t>以上のリスクを踏まえ、従業員10人未満の段階から就業規則を整備することを強くお勧めします。以下に整備にあたっての推奨事項をご提案いたします。</w:t>
      </w:r>
    </w:p>
    <w:p>
      <w:pPr>
        <w:spacing w:before="200" w:after="80"/>
        <w:ind w:left="170"/>
      </w:pPr>
      <w:r>
        <w:rPr>
          <w:rFonts w:eastAsia="游明朝"/>
          <w:rFonts w:ascii="游明朝" w:hAnsi="游明朝"/>
          <w:b/>
          <w:color w:val="1F3864"/>
          <w:sz w:val="24"/>
        </w:rPr>
        <w:t>■ 最低限整備すべき項目</w:t>
      </w:r>
    </w:p>
    <w:p>
      <w:pPr>
        <w:spacing w:before="20" w:after="20" w:line="300" w:lineRule="exact"/>
        <w:ind w:left="454" w:hanging="227"/>
      </w:pPr>
      <w:r>
        <w:rPr>
          <w:rFonts w:eastAsia="游明朝"/>
          <w:rFonts w:ascii="游明朝" w:hAnsi="游明朝"/>
          <w:b w:val="0"/>
          <w:color w:val="595959"/>
          <w:sz w:val="21"/>
        </w:rPr>
        <w:t>✓　労働時間・休憩・休日・休暇（年次有給休暇を含む）</w:t>
      </w:r>
    </w:p>
    <w:p>
      <w:pPr>
        <w:spacing w:before="20" w:after="20" w:line="300" w:lineRule="exact"/>
        <w:ind w:left="454" w:hanging="227"/>
      </w:pPr>
      <w:r>
        <w:rPr>
          <w:rFonts w:eastAsia="游明朝"/>
          <w:rFonts w:ascii="游明朝" w:hAnsi="游明朝"/>
          <w:b w:val="0"/>
          <w:color w:val="595959"/>
          <w:sz w:val="21"/>
        </w:rPr>
        <w:t>✓　賃金の決定・計算・支払方法・締切日・支払日</w:t>
      </w:r>
    </w:p>
    <w:p>
      <w:pPr>
        <w:spacing w:before="20" w:after="20" w:line="300" w:lineRule="exact"/>
        <w:ind w:left="454" w:hanging="227"/>
      </w:pPr>
      <w:r>
        <w:rPr>
          <w:rFonts w:eastAsia="游明朝"/>
          <w:rFonts w:ascii="游明朝" w:hAnsi="游明朝"/>
          <w:b w:val="0"/>
          <w:color w:val="595959"/>
          <w:sz w:val="21"/>
        </w:rPr>
        <w:t>✓　退職・解雇の事由と手続き</w:t>
      </w:r>
    </w:p>
    <w:p>
      <w:pPr>
        <w:spacing w:before="20" w:after="20" w:line="300" w:lineRule="exact"/>
        <w:ind w:left="454" w:hanging="227"/>
      </w:pPr>
      <w:r>
        <w:rPr>
          <w:rFonts w:eastAsia="游明朝"/>
          <w:rFonts w:ascii="游明朝" w:hAnsi="游明朝"/>
          <w:b w:val="0"/>
          <w:color w:val="595959"/>
          <w:sz w:val="21"/>
        </w:rPr>
        <w:t>✓　懲戒の種類・事由・手続き</w:t>
      </w:r>
    </w:p>
    <w:p>
      <w:pPr>
        <w:spacing w:before="20" w:after="20" w:line="300" w:lineRule="exact"/>
        <w:ind w:left="454" w:hanging="227"/>
      </w:pPr>
      <w:r>
        <w:rPr>
          <w:rFonts w:eastAsia="游明朝"/>
          <w:rFonts w:ascii="游明朝" w:hAnsi="游明朝"/>
          <w:b w:val="0"/>
          <w:color w:val="595959"/>
          <w:sz w:val="21"/>
        </w:rPr>
        <w:t>✓　試用期間・本採用の基準</w:t>
      </w:r>
    </w:p>
    <w:p>
      <w:pPr>
        <w:spacing w:before="20" w:after="20" w:line="300" w:lineRule="exact"/>
        <w:ind w:left="454" w:hanging="227"/>
      </w:pPr>
      <w:r>
        <w:rPr>
          <w:rFonts w:eastAsia="游明朝"/>
          <w:rFonts w:ascii="游明朝" w:hAnsi="游明朝"/>
          <w:b w:val="0"/>
          <w:color w:val="595959"/>
          <w:sz w:val="21"/>
        </w:rPr>
        <w:t>✓　ハラスメント防止・相談窓口</w:t>
      </w:r>
    </w:p>
    <w:p>
      <w:pPr>
        <w:spacing w:before="20" w:after="20" w:line="300" w:lineRule="exact"/>
        <w:ind w:left="454" w:hanging="227"/>
      </w:pPr>
      <w:r>
        <w:rPr>
          <w:rFonts w:eastAsia="游明朝"/>
          <w:rFonts w:ascii="游明朝" w:hAnsi="游明朝"/>
          <w:b w:val="0"/>
          <w:color w:val="595959"/>
          <w:sz w:val="21"/>
        </w:rPr>
        <w:t>✓　秘密保持・個人情報の取り扱い</w:t>
      </w:r>
    </w:p>
    <w:p>
      <w:pPr>
        <w:spacing w:before="200" w:after="80"/>
        <w:ind w:left="170"/>
      </w:pPr>
      <w:r>
        <w:rPr>
          <w:rFonts w:eastAsia="游明朝"/>
          <w:rFonts w:ascii="游明朝" w:hAnsi="游明朝"/>
          <w:b/>
          <w:color w:val="1F3864"/>
          <w:sz w:val="24"/>
        </w:rPr>
        <w:t>■ 整備スケジュール（例）</w:t>
      </w:r>
    </w:p>
    <w:p>
      <w:pPr>
        <w:spacing w:before="60" w:after="60" w:line="300" w:lineRule="exact"/>
        <w:ind w:left="454"/>
      </w:pPr>
      <w:r>
        <w:rPr>
          <w:rFonts w:eastAsia="游明朝"/>
          <w:rFonts w:ascii="游明朝" w:hAnsi="游明朝"/>
          <w:b/>
          <w:color w:val="1F3864"/>
          <w:sz w:val="20"/>
        </w:rPr>
        <w:t xml:space="preserve">STEP 1（〜1か月目）　</w:t>
      </w:r>
      <w:r>
        <w:rPr>
          <w:rFonts w:eastAsia="游明朝"/>
          <w:rFonts w:ascii="游明朝" w:hAnsi="游明朝"/>
          <w:b w:val="0"/>
          <w:color w:val="595959"/>
          <w:sz w:val="20"/>
        </w:rPr>
        <w:t>現状の雇用形態・賃金体系・労働時間を棚卸しし、整備すべき事項を洗い出す</w:t>
      </w:r>
    </w:p>
    <w:p>
      <w:pPr>
        <w:spacing w:before="60" w:after="60" w:line="300" w:lineRule="exact"/>
        <w:ind w:left="454"/>
      </w:pPr>
      <w:r>
        <w:rPr>
          <w:rFonts w:eastAsia="游明朝"/>
          <w:rFonts w:ascii="游明朝" w:hAnsi="游明朝"/>
          <w:b/>
          <w:color w:val="1F3864"/>
          <w:sz w:val="20"/>
        </w:rPr>
        <w:t xml:space="preserve">STEP 2（〜2か月目）　</w:t>
      </w:r>
      <w:r>
        <w:rPr>
          <w:rFonts w:eastAsia="游明朝"/>
          <w:rFonts w:ascii="游明朝" w:hAnsi="游明朝"/>
          <w:b w:val="0"/>
          <w:color w:val="595959"/>
          <w:sz w:val="20"/>
        </w:rPr>
        <w:t>社会保険労務士・弁護士と就業規則の草案を作成する</w:t>
      </w:r>
    </w:p>
    <w:p>
      <w:pPr>
        <w:spacing w:before="60" w:after="60" w:line="300" w:lineRule="exact"/>
        <w:ind w:left="454"/>
      </w:pPr>
      <w:r>
        <w:rPr>
          <w:rFonts w:eastAsia="游明朝"/>
          <w:rFonts w:ascii="游明朝" w:hAnsi="游明朝"/>
          <w:b/>
          <w:color w:val="1F3864"/>
          <w:sz w:val="20"/>
        </w:rPr>
        <w:t xml:space="preserve">STEP 3（〜3か月目）　</w:t>
      </w:r>
      <w:r>
        <w:rPr>
          <w:rFonts w:eastAsia="游明朝"/>
          <w:rFonts w:ascii="游明朝" w:hAnsi="游明朝"/>
          <w:b w:val="0"/>
          <w:color w:val="595959"/>
          <w:sz w:val="20"/>
        </w:rPr>
        <w:t>従業員代表の意見聴取を行い、内容を確定する</w:t>
      </w:r>
    </w:p>
    <w:p>
      <w:pPr>
        <w:spacing w:before="60" w:after="60" w:line="300" w:lineRule="exact"/>
        <w:ind w:left="454"/>
      </w:pPr>
      <w:r>
        <w:rPr>
          <w:rFonts w:eastAsia="游明朝"/>
          <w:rFonts w:ascii="游明朝" w:hAnsi="游明朝"/>
          <w:b/>
          <w:color w:val="1F3864"/>
          <w:sz w:val="20"/>
        </w:rPr>
        <w:t xml:space="preserve">STEP 4（〜4か月目）　</w:t>
      </w:r>
      <w:r>
        <w:rPr>
          <w:rFonts w:eastAsia="游明朝"/>
          <w:rFonts w:ascii="游明朝" w:hAnsi="游明朝"/>
          <w:b w:val="0"/>
          <w:color w:val="595959"/>
          <w:sz w:val="20"/>
        </w:rPr>
        <w:t>就業規則を従業員に周知し、運用を開始する</w:t>
      </w:r>
    </w:p>
    <w:p>
      <w:pPr>
        <w:spacing w:before="60" w:after="60" w:line="300" w:lineRule="exact"/>
        <w:ind w:left="454"/>
      </w:pPr>
      <w:r>
        <w:rPr>
          <w:rFonts w:eastAsia="游明朝"/>
          <w:rFonts w:ascii="游明朝" w:hAnsi="游明朝"/>
          <w:b/>
          <w:color w:val="1F3864"/>
          <w:sz w:val="20"/>
        </w:rPr>
        <w:t xml:space="preserve">STEP 5（随時）　</w:t>
      </w:r>
      <w:r>
        <w:rPr>
          <w:rFonts w:eastAsia="游明朝"/>
          <w:rFonts w:ascii="游明朝" w:hAnsi="游明朝"/>
          <w:b w:val="0"/>
          <w:color w:val="595959"/>
          <w:sz w:val="20"/>
        </w:rPr>
        <w:t>法改正・会社状況の変化に応じて定期的に見直す</w:t>
      </w:r>
    </w:p>
    <w:p>
      <w:pPr>
        <w:spacing w:before="200" w:after="80"/>
        <w:ind w:left="170"/>
      </w:pPr>
      <w:r>
        <w:rPr>
          <w:rFonts w:eastAsia="游明朝"/>
          <w:rFonts w:ascii="游明朝" w:hAnsi="游明朝"/>
          <w:b/>
          <w:color w:val="1F3864"/>
          <w:sz w:val="24"/>
        </w:rPr>
        <w:t>■ 整備コストと費用対効果</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pPr>
              <w:jc w:val="center"/>
            </w:pPr>
            <w:r>
              <w:rPr>
                <w:rFonts w:eastAsia="游明朝"/>
                <w:rFonts w:ascii="游明朝" w:hAnsi="游明朝"/>
                <w:b/>
                <w:color w:val="FFFFFF"/>
                <w:sz w:val="20"/>
              </w:rPr>
              <w:t>整備方法</w:t>
            </w:r>
          </w:p>
        </w:tc>
        <w:tc>
          <w:tcPr>
            <w:tcW w:type="dxa" w:w="3024"/>
            <w:shd w:val="clear" w:color="auto" w:fill="1F3864"/>
          </w:tcPr>
          <w:p>
            <w:pPr>
              <w:jc w:val="center"/>
            </w:pPr>
            <w:r>
              <w:rPr>
                <w:rFonts w:eastAsia="游明朝"/>
                <w:rFonts w:ascii="游明朝" w:hAnsi="游明朝"/>
                <w:b/>
                <w:color w:val="FFFFFF"/>
                <w:sz w:val="20"/>
              </w:rPr>
              <w:t>概算費用</w:t>
            </w:r>
          </w:p>
        </w:tc>
        <w:tc>
          <w:tcPr>
            <w:tcW w:type="dxa" w:w="3024"/>
            <w:shd w:val="clear" w:color="auto" w:fill="1F3864"/>
          </w:tcPr>
          <w:p>
            <w:pPr>
              <w:jc w:val="center"/>
            </w:pPr>
            <w:r>
              <w:rPr>
                <w:rFonts w:eastAsia="游明朝"/>
                <w:rFonts w:ascii="游明朝" w:hAnsi="游明朝"/>
                <w:b/>
                <w:color w:val="FFFFFF"/>
                <w:sz w:val="20"/>
              </w:rPr>
              <w:t>メリット</w:t>
            </w:r>
          </w:p>
        </w:tc>
      </w:tr>
      <w:tr>
        <w:tc>
          <w:tcPr>
            <w:tcW w:type="dxa" w:w="3024"/>
            <w:shd w:val="clear" w:color="auto" w:fill="E2EFDA"/>
          </w:tcPr>
          <w:p>
            <w:r>
              <w:rPr>
                <w:rFonts w:eastAsia="游明朝"/>
                <w:rFonts w:ascii="游明朝" w:hAnsi="游明朝"/>
                <w:b w:val="0"/>
                <w:color w:val="595959"/>
                <w:sz w:val="20"/>
              </w:rPr>
              <w:t>自社作成（テンプレート活用）</w:t>
            </w:r>
          </w:p>
        </w:tc>
        <w:tc>
          <w:tcPr>
            <w:tcW w:type="dxa" w:w="3024"/>
            <w:shd w:val="clear" w:color="auto" w:fill="E2EFDA"/>
          </w:tcPr>
          <w:p>
            <w:r>
              <w:rPr>
                <w:rFonts w:eastAsia="游明朝"/>
                <w:rFonts w:ascii="游明朝" w:hAnsi="游明朝"/>
                <w:b w:val="0"/>
                <w:color w:val="595959"/>
                <w:sz w:val="20"/>
              </w:rPr>
              <w:t>数万円程度（印刷・労力）</w:t>
            </w:r>
          </w:p>
        </w:tc>
        <w:tc>
          <w:tcPr>
            <w:tcW w:type="dxa" w:w="3024"/>
            <w:shd w:val="clear" w:color="auto" w:fill="E2EFDA"/>
          </w:tcPr>
          <w:p>
            <w:r>
              <w:rPr>
                <w:rFonts w:eastAsia="游明朝"/>
                <w:rFonts w:ascii="游明朝" w:hAnsi="游明朝"/>
                <w:b w:val="0"/>
                <w:color w:val="595959"/>
                <w:sz w:val="20"/>
              </w:rPr>
              <w:t>コスト最小・カスタマイズ自由</w:t>
            </w:r>
          </w:p>
        </w:tc>
      </w:tr>
      <w:tr>
        <w:tc>
          <w:tcPr>
            <w:tcW w:type="dxa" w:w="3024"/>
            <w:shd w:val="clear" w:color="auto" w:fill="FFF2CC"/>
          </w:tcPr>
          <w:p>
            <w:r>
              <w:rPr>
                <w:rFonts w:eastAsia="游明朝"/>
                <w:rFonts w:ascii="游明朝" w:hAnsi="游明朝"/>
                <w:b w:val="0"/>
                <w:color w:val="595959"/>
                <w:sz w:val="20"/>
              </w:rPr>
              <w:t>社会保険労務士に依頼</w:t>
            </w:r>
          </w:p>
        </w:tc>
        <w:tc>
          <w:tcPr>
            <w:tcW w:type="dxa" w:w="3024"/>
            <w:shd w:val="clear" w:color="auto" w:fill="FFF2CC"/>
          </w:tcPr>
          <w:p>
            <w:r>
              <w:rPr>
                <w:rFonts w:eastAsia="游明朝"/>
                <w:rFonts w:ascii="游明朝" w:hAnsi="游明朝"/>
                <w:b w:val="0"/>
                <w:color w:val="595959"/>
                <w:sz w:val="20"/>
              </w:rPr>
              <w:t>10〜30万円程度</w:t>
            </w:r>
          </w:p>
        </w:tc>
        <w:tc>
          <w:tcPr>
            <w:tcW w:type="dxa" w:w="3024"/>
            <w:shd w:val="clear" w:color="auto" w:fill="FFF2CC"/>
          </w:tcPr>
          <w:p>
            <w:r>
              <w:rPr>
                <w:rFonts w:eastAsia="游明朝"/>
                <w:rFonts w:ascii="游明朝" w:hAnsi="游明朝"/>
                <w:b w:val="0"/>
                <w:color w:val="595959"/>
                <w:sz w:val="20"/>
              </w:rPr>
              <w:t>法的整合性が高く・アドバイス付き</w:t>
            </w:r>
          </w:p>
        </w:tc>
      </w:tr>
      <w:tr>
        <w:tc>
          <w:tcPr>
            <w:tcW w:type="dxa" w:w="3024"/>
            <w:shd w:val="clear" w:color="auto" w:fill="DCE6F1"/>
          </w:tcPr>
          <w:p>
            <w:r>
              <w:rPr>
                <w:rFonts w:eastAsia="游明朝"/>
                <w:rFonts w:ascii="游明朝" w:hAnsi="游明朝"/>
                <w:b w:val="0"/>
                <w:color w:val="595959"/>
                <w:sz w:val="20"/>
              </w:rPr>
              <w:t>弁護士に依頼</w:t>
            </w:r>
          </w:p>
        </w:tc>
        <w:tc>
          <w:tcPr>
            <w:tcW w:type="dxa" w:w="3024"/>
            <w:shd w:val="clear" w:color="auto" w:fill="DCE6F1"/>
          </w:tcPr>
          <w:p>
            <w:r>
              <w:rPr>
                <w:rFonts w:eastAsia="游明朝"/>
                <w:rFonts w:ascii="游明朝" w:hAnsi="游明朝"/>
                <w:b w:val="0"/>
                <w:color w:val="595959"/>
                <w:sz w:val="20"/>
              </w:rPr>
              <w:t>30〜100万円程度</w:t>
            </w:r>
          </w:p>
        </w:tc>
        <w:tc>
          <w:tcPr>
            <w:tcW w:type="dxa" w:w="3024"/>
            <w:shd w:val="clear" w:color="auto" w:fill="DCE6F1"/>
          </w:tcPr>
          <w:p>
            <w:r>
              <w:rPr>
                <w:rFonts w:eastAsia="游明朝"/>
                <w:rFonts w:ascii="游明朝" w:hAnsi="游明朝"/>
                <w:b w:val="0"/>
                <w:color w:val="595959"/>
                <w:sz w:val="20"/>
              </w:rPr>
              <w:t>訴訟リスク対策まで含めた高品質</w:t>
            </w:r>
          </w:p>
        </w:tc>
      </w:tr>
    </w:tbl>
    <w:p/>
    <w:p>
      <w:pPr>
        <w:spacing w:before="280" w:after="120"/>
        <w:ind w:left="0"/>
        <w:pBdr>
          <w:bottom w:val="single" w:sz="6" w:space="4" w:color="1F3864"/>
        </w:pBdr>
      </w:pPr>
      <w:r>
        <w:rPr>
          <w:rFonts w:eastAsia="游明朝"/>
          <w:rFonts w:ascii="游明朝" w:hAnsi="游明朝"/>
          <w:b/>
          <w:color w:val="1F3864"/>
          <w:sz w:val="32"/>
        </w:rPr>
        <w:t>おわりに</w:t>
      </w:r>
    </w:p>
    <w:tbl>
      <w:tblPr>
        <w:tblW w:type="auto" w:w="0"/>
        <w:jc w:val="center"/>
        <w:tblLook w:firstColumn="1" w:firstRow="1" w:lastColumn="0" w:lastRow="0" w:noHBand="0" w:noVBand="1" w:val="04A0"/>
      </w:tblPr>
      <w:tblGrid>
        <w:gridCol w:w="9072"/>
      </w:tblGrid>
      <w:tr>
        <w:tc>
          <w:tcPr>
            <w:tcW w:type="dxa" w:w="9072"/>
            <w:shd w:val="clear" w:color="auto" w:fill="DCE6F1"/>
          </w:tcPr>
          <w:p>
            <w:pPr>
              <w:spacing w:before="200" w:after="80"/>
              <w:jc w:val="center"/>
            </w:pPr>
            <w:r>
              <w:rPr>
                <w:rFonts w:eastAsia="游明朝"/>
                <w:rFonts w:ascii="游明朝" w:hAnsi="游明朝"/>
                <w:b/>
                <w:color w:val="1F3864"/>
                <w:sz w:val="22"/>
              </w:rPr>
              <w:t>就業規則の整備は、企業を守る「盾」であり、従業員が安心して働ける「基盤」です。</w:t>
            </w:r>
          </w:p>
          <w:p>
            <w:pPr>
              <w:spacing w:before="80" w:after="200"/>
              <w:ind w:left="283"/>
            </w:pPr>
            <w:r>
              <w:rPr>
                <w:rFonts w:eastAsia="游明朝"/>
                <w:rFonts w:ascii="游明朝" w:hAnsi="游明朝"/>
                <w:b w:val="0"/>
                <w:color w:val="595959"/>
                <w:sz w:val="21"/>
              </w:rPr>
              <w:t>整備コストは数万〜数十万円であるのに対し、未整備によるリスク（残業代訴訟・解雇無効・助成金不受給）はその何倍もの損失につながります。従業員が10人に達した時点で届出義務が即日発生することからも、早期の整備が最も合理的な経営判断です。</w:t>
              <w:br/>
              <w:t>ご不明な点がございましたら、お気軽にご相談ください。</w:t>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