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游ゴシック" w:hAnsi="游ゴシック" w:eastAsia="游ゴシック"/>
          <w:b/>
          <w:color w:val="1F497D"/>
          <w:sz w:val="44"/>
        </w:rPr>
        <w:t>働き方改革推進支援助成金</w:t>
      </w:r>
    </w:p>
    <w:p>
      <w:pPr>
        <w:jc w:val="center"/>
      </w:pPr>
      <w:r>
        <w:rPr>
          <w:rFonts w:ascii="游ゴシック" w:hAnsi="游ゴシック" w:eastAsia="游ゴシック"/>
          <w:b/>
          <w:color w:val="276DC4"/>
          <w:sz w:val="28"/>
        </w:rPr>
        <w:t>各コース概要・申請ポイントまとめ（令和7年度版）</w:t>
      </w:r>
    </w:p>
    <w:p/>
    <w:p>
      <w:pPr>
        <w:jc w:val="center"/>
      </w:pPr>
      <w:r>
        <w:rPr>
          <w:rFonts w:ascii="游明朝" w:hAnsi="游明朝" w:eastAsia="游明朝"/>
          <w:color w:val="606060"/>
          <w:sz w:val="20"/>
        </w:rPr>
        <w:t>厚生労働省・各都道府県労働局資料をもとに作成</w:t>
      </w:r>
    </w:p>
    <w:p>
      <w:r>
        <w:br w:type="page"/>
      </w:r>
    </w:p>
    <w:p>
      <w:pPr>
        <w:jc w:val="left"/>
      </w:pPr>
      <w:r>
        <w:rPr>
          <w:rFonts w:ascii="游ゴシック" w:hAnsi="游ゴシック" w:eastAsia="游ゴシック"/>
          <w:b/>
          <w:color w:val="1F497D"/>
          <w:sz w:val="36"/>
        </w:rPr>
        <w:t>■ 助成金の全体概要</w:t>
      </w:r>
    </w:p>
    <w:p>
      <w:pPr>
        <w:spacing w:after="80"/>
      </w:pPr>
      <w:r>
        <w:rPr>
          <w:rFonts w:ascii="游明朝" w:hAnsi="游明朝" w:eastAsia="游明朝"/>
          <w:b w:val="0"/>
          <w:sz w:val="21"/>
        </w:rPr>
        <w:t>働き方改革推進支援助成金は、生産性を向上させながら労働時間の短縮・年次有給休暇の取得促進・勤務間インターバルの導入等に取り組む中小企業事業主等を支援するため、厚生労働省が設ける助成金制度です（令和7年度）。</w:t>
      </w:r>
    </w:p>
    <w:p>
      <w:pPr>
        <w:spacing w:after="80"/>
      </w:pPr>
      <w:r>
        <w:rPr>
          <w:rFonts w:ascii="游明朝" w:hAnsi="游明朝" w:eastAsia="游明朝"/>
          <w:b/>
          <w:sz w:val="21"/>
        </w:rPr>
        <w:t>申請受付期限：令和7年11月28日（金）※予算上限に達した場合は期限前に受付終了</w:t>
      </w:r>
    </w:p>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対象</w:t>
            </w:r>
          </w:p>
        </w:tc>
        <w:tc>
          <w:tcPr>
            <w:tcW w:type="dxa" w:w="7030"/>
          </w:tcPr>
          <w:p>
            <w:r>
              <w:rPr>
                <w:rFonts w:ascii="游明朝" w:hAnsi="游明朝" w:eastAsia="游明朝"/>
                <w:sz w:val="20"/>
              </w:rPr>
              <w:t>労働者災害補償保険の適用を受ける中小企業事業主（業種・規模要件あり）</w:t>
            </w:r>
          </w:p>
        </w:tc>
      </w:tr>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対象経費の3/4（労働者数30人以下で対象取り組みが特定の場合は4/5）</w:t>
            </w:r>
          </w:p>
        </w:tc>
      </w:tr>
      <w:tr>
        <w:tc>
          <w:tcPr>
            <w:tcW w:type="dxa" w:w="2154"/>
            <w:shd w:val="clear" w:color="auto" w:fill="D6E4F7"/>
            <w:vAlign w:val="center"/>
          </w:tcPr>
          <w:p>
            <w:pPr>
              <w:jc w:val="center"/>
            </w:pPr>
            <w:r>
              <w:rPr>
                <w:rFonts w:ascii="游ゴシック" w:hAnsi="游ゴシック" w:eastAsia="游ゴシック"/>
                <w:b/>
                <w:sz w:val="20"/>
              </w:rPr>
              <w:t>申請窓口</w:t>
            </w:r>
          </w:p>
        </w:tc>
        <w:tc>
          <w:tcPr>
            <w:tcW w:type="dxa" w:w="7030"/>
          </w:tcPr>
          <w:p>
            <w:r>
              <w:rPr>
                <w:rFonts w:ascii="游明朝" w:hAnsi="游明朝" w:eastAsia="游明朝"/>
                <w:sz w:val="20"/>
              </w:rPr>
              <w:t>各都道府県労働局 雇用環境・均等部（室）</w:t>
              <w:br/>
              <w:t>（電子申請：Jグランツも利用可）</w:t>
            </w:r>
          </w:p>
        </w:tc>
      </w:tr>
      <w:tr>
        <w:tc>
          <w:tcPr>
            <w:tcW w:type="dxa" w:w="2154"/>
            <w:shd w:val="clear" w:color="auto" w:fill="D6E4F7"/>
            <w:vAlign w:val="center"/>
          </w:tcPr>
          <w:p>
            <w:pPr>
              <w:jc w:val="center"/>
            </w:pPr>
            <w:r>
              <w:rPr>
                <w:rFonts w:ascii="游ゴシック" w:hAnsi="游ゴシック" w:eastAsia="游ゴシック"/>
                <w:b/>
                <w:sz w:val="20"/>
              </w:rPr>
              <w:t>コース数</w:t>
            </w:r>
          </w:p>
        </w:tc>
        <w:tc>
          <w:tcPr>
            <w:tcW w:type="dxa" w:w="7030"/>
          </w:tcPr>
          <w:p>
            <w:r>
              <w:rPr>
                <w:rFonts w:ascii="游明朝" w:hAnsi="游明朝" w:eastAsia="游明朝"/>
                <w:sz w:val="20"/>
              </w:rPr>
              <w:t>5コース（個社向け3コース＋団体・事業主団体向け2コース）</w:t>
            </w:r>
          </w:p>
        </w:tc>
      </w:tr>
    </w:tbl>
    <w:p/>
    <w:p>
      <w:r>
        <w:br w:type="page"/>
      </w:r>
    </w:p>
    <w:tbl>
      <w:tblPr>
        <w:tblStyle w:val="TableGrid"/>
        <w:tblW w:type="auto" w:w="0"/>
        <w:tblLook w:firstColumn="1" w:firstRow="1" w:lastColumn="0" w:lastRow="0" w:noHBand="0" w:noVBand="1" w:val="04A0"/>
      </w:tblPr>
      <w:tblGrid>
        <w:gridCol w:w="9638"/>
      </w:tblGrid>
      <w:tr>
        <w:tc>
          <w:tcPr>
            <w:tcW w:type="dxa" w:w="9638"/>
            <w:shd w:val="clear" w:color="auto" w:fill="1F497D"/>
          </w:tcPr>
          <w:p>
            <w:pPr>
              <w:jc w:val="center"/>
            </w:pPr>
            <w:r>
              <w:rPr>
                <w:rFonts w:ascii="游ゴシック" w:hAnsi="游ゴシック" w:eastAsia="游ゴシック"/>
                <w:b/>
                <w:color w:val="FFFFFF"/>
                <w:sz w:val="26"/>
              </w:rPr>
              <w:t>コース① 労働時間短縮・年休促進支援コース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時間外労働の削減、年次有給休暇・特別休暇の取得促進に向けた環境整備に取り組む中小企業事業主を支援します。令和2年4月から中小企業にも時間外労働の上限規制が適用されており、本コースはその対応を後押しします。</w:t>
      </w:r>
    </w:p>
    <w:p>
      <w:pPr>
        <w:jc w:val="left"/>
      </w:pPr>
      <w:r>
        <w:rPr>
          <w:rFonts w:ascii="游ゴシック" w:hAnsi="游ゴシック" w:eastAsia="游ゴシック"/>
          <w:b/>
          <w:color w:val="3786C8"/>
          <w:sz w:val="24"/>
        </w:rPr>
        <w:t>【対象事業主の主な要件】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規模要件</w:t>
            </w:r>
          </w:p>
        </w:tc>
        <w:tc>
          <w:tcPr>
            <w:tcW w:type="dxa" w:w="7030"/>
          </w:tcPr>
          <w:p>
            <w:r>
              <w:rPr>
                <w:rFonts w:ascii="游明朝" w:hAnsi="游明朝" w:eastAsia="游明朝"/>
                <w:sz w:val="20"/>
              </w:rPr>
              <w:t>中小企業事業主（業種別の資本金・労働者数の基準内）</w:t>
            </w:r>
          </w:p>
        </w:tc>
      </w:tr>
      <w:tr>
        <w:tc>
          <w:tcPr>
            <w:tcW w:type="dxa" w:w="2154"/>
            <w:shd w:val="clear" w:color="auto" w:fill="D6E4F7"/>
            <w:vAlign w:val="center"/>
          </w:tcPr>
          <w:p>
            <w:pPr>
              <w:jc w:val="center"/>
            </w:pPr>
            <w:r>
              <w:rPr>
                <w:rFonts w:ascii="游ゴシック" w:hAnsi="游ゴシック" w:eastAsia="游ゴシック"/>
                <w:b/>
                <w:sz w:val="20"/>
              </w:rPr>
              <w:t>36協定</w:t>
            </w:r>
          </w:p>
        </w:tc>
        <w:tc>
          <w:tcPr>
            <w:tcW w:type="dxa" w:w="7030"/>
          </w:tcPr>
          <w:p>
            <w:r>
              <w:rPr>
                <w:rFonts w:ascii="游明朝" w:hAnsi="游明朝" w:eastAsia="游明朝"/>
                <w:sz w:val="20"/>
              </w:rPr>
              <w:t>時間外・休日労働に関する協定届を提出していること</w:t>
              <w:br/>
              <w:t>（月60時間超または月80時間超の36協定を締結している事業場が対象）</w:t>
            </w:r>
          </w:p>
        </w:tc>
      </w:tr>
      <w:tr>
        <w:tc>
          <w:tcPr>
            <w:tcW w:type="dxa" w:w="2154"/>
            <w:shd w:val="clear" w:color="auto" w:fill="D6E4F7"/>
            <w:vAlign w:val="center"/>
          </w:tcPr>
          <w:p>
            <w:pPr>
              <w:jc w:val="center"/>
            </w:pPr>
            <w:r>
              <w:rPr>
                <w:rFonts w:ascii="游ゴシック" w:hAnsi="游ゴシック" w:eastAsia="游ゴシック"/>
                <w:b/>
                <w:sz w:val="20"/>
              </w:rPr>
              <w:t>年休整備</w:t>
            </w:r>
          </w:p>
        </w:tc>
        <w:tc>
          <w:tcPr>
            <w:tcW w:type="dxa" w:w="7030"/>
          </w:tcPr>
          <w:p>
            <w:r>
              <w:rPr>
                <w:rFonts w:ascii="游明朝" w:hAnsi="游明朝" w:eastAsia="游明朝"/>
                <w:sz w:val="20"/>
              </w:rPr>
              <w:t>全対象事業場で年5日の年次有給休暇取得に向けた就業規則等を整備済みであること</w:t>
            </w:r>
          </w:p>
        </w:tc>
      </w:tr>
    </w:tbl>
    <w:p/>
    <w:p>
      <w:pPr>
        <w:jc w:val="left"/>
      </w:pPr>
      <w:r>
        <w:rPr>
          <w:rFonts w:ascii="游ゴシック" w:hAnsi="游ゴシック" w:eastAsia="游ゴシック"/>
          <w:b/>
          <w:color w:val="3786C8"/>
          <w:sz w:val="24"/>
        </w:rPr>
        <w:t>【助成対象の主な取り組み（成果目標）】</w:t>
      </w:r>
    </w:p>
    <w:p>
      <w:pPr>
        <w:pStyle w:val="ListBullet"/>
        <w:spacing w:after="60"/>
        <w:ind w:left="283"/>
      </w:pPr>
      <w:r>
        <w:rPr>
          <w:rFonts w:ascii="游明朝" w:hAnsi="游明朝" w:eastAsia="游明朝"/>
          <w:sz w:val="21"/>
        </w:rPr>
        <w:t>全ての対象事業場の36協定の時間外・休日労働時間数を縮減する（月60時間以下 等）</w:t>
      </w:r>
    </w:p>
    <w:p>
      <w:pPr>
        <w:pStyle w:val="ListBullet"/>
        <w:spacing w:after="60"/>
        <w:ind w:left="283"/>
      </w:pPr>
      <w:r>
        <w:rPr>
          <w:rFonts w:ascii="游明朝" w:hAnsi="游明朝" w:eastAsia="游明朝"/>
          <w:sz w:val="21"/>
        </w:rPr>
        <w:t>年次有給休暇の計画的付与制度を新たに導入する</w:t>
      </w:r>
    </w:p>
    <w:p>
      <w:pPr>
        <w:pStyle w:val="ListBullet"/>
        <w:spacing w:after="60"/>
        <w:ind w:left="283"/>
      </w:pPr>
      <w:r>
        <w:rPr>
          <w:rFonts w:ascii="游明朝" w:hAnsi="游明朝" w:eastAsia="游明朝"/>
          <w:sz w:val="21"/>
        </w:rPr>
        <w:t>時間単位年次有給休暇制度を新たに導入する</w:t>
      </w:r>
    </w:p>
    <w:p>
      <w:pPr>
        <w:pStyle w:val="ListBullet"/>
        <w:spacing w:after="60"/>
        <w:ind w:left="283"/>
      </w:pPr>
      <w:r>
        <w:rPr>
          <w:rFonts w:ascii="游明朝" w:hAnsi="游明朝" w:eastAsia="游明朝"/>
          <w:sz w:val="21"/>
        </w:rPr>
        <w:t>特別休暇（病気・子の看護・介護・教育訓練・不妊治療等）を新たに導入する</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w:t>
              <w:br/>
              <w:t>（労働者数30人以下かつ所要額が30万円超の特定取り組みは4/5）</w:t>
            </w:r>
          </w:p>
        </w:tc>
      </w:tr>
      <w:tr>
        <w:tc>
          <w:tcPr>
            <w:tcW w:type="dxa" w:w="2154"/>
            <w:shd w:val="clear" w:color="auto" w:fill="D6E4F7"/>
            <w:vAlign w:val="center"/>
          </w:tcPr>
          <w:p>
            <w:pPr>
              <w:jc w:val="center"/>
            </w:pPr>
            <w:r>
              <w:rPr>
                <w:rFonts w:ascii="游ゴシック" w:hAnsi="游ゴシック" w:eastAsia="游ゴシック"/>
                <w:b/>
                <w:sz w:val="20"/>
              </w:rPr>
              <w:t>上限額（目安）</w:t>
            </w:r>
          </w:p>
        </w:tc>
        <w:tc>
          <w:tcPr>
            <w:tcW w:type="dxa" w:w="7030"/>
          </w:tcPr>
          <w:p>
            <w:r>
              <w:rPr>
                <w:rFonts w:ascii="游明朝" w:hAnsi="游明朝" w:eastAsia="游明朝"/>
                <w:sz w:val="20"/>
              </w:rPr>
              <w:t>・月60時間以下に縮減：最大150万円</w:t>
              <w:br/>
              <w:t>・賃金引上げ加算あり（3%以上・5%以上・7%以上で加算額が異なる）</w:t>
              <w:br/>
              <w:t>（例）5%以上引上げで加算額が上乗せされる</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就業規則・労使協定等の作成・変更費用、コンサルタント費用、</w:t>
              <w:br/>
              <w:t>研修費、労務管理ソフト導入費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【事前】交付申請前に「成果目標」を設定し、交付決定を受けてから取り組みを実施すること</w:t>
      </w:r>
    </w:p>
    <w:p>
      <w:pPr>
        <w:pStyle w:val="ListBullet"/>
        <w:spacing w:after="60"/>
        <w:ind w:left="283"/>
      </w:pPr>
      <w:r>
        <w:rPr>
          <w:rFonts w:ascii="游明朝" w:hAnsi="游明朝" w:eastAsia="游明朝"/>
          <w:sz w:val="21"/>
        </w:rPr>
        <w:t>36協定の月あたり時間外労働の上限が高いほど対象になりやすいが、縮減目標が小さいと助成額も低くなる</w:t>
      </w:r>
    </w:p>
    <w:p>
      <w:pPr>
        <w:pStyle w:val="ListBullet"/>
        <w:spacing w:after="60"/>
        <w:ind w:left="283"/>
      </w:pPr>
      <w:r>
        <w:rPr>
          <w:rFonts w:ascii="游明朝" w:hAnsi="游明朝" w:eastAsia="游明朝"/>
          <w:sz w:val="21"/>
        </w:rPr>
        <w:t>年次有給休暇の計画的付与制度・時間単位制度は未導入の事業場のみ申請可能</w:t>
      </w:r>
    </w:p>
    <w:p>
      <w:pPr>
        <w:pStyle w:val="ListBullet"/>
        <w:spacing w:after="60"/>
        <w:ind w:left="283"/>
      </w:pPr>
      <w:r>
        <w:rPr>
          <w:rFonts w:ascii="游明朝" w:hAnsi="游明朝" w:eastAsia="游明朝"/>
          <w:sz w:val="21"/>
        </w:rPr>
        <w:t>特別休暇は「新たに導入」が条件のため、既存の休暇制度がある場合は不可</w:t>
      </w:r>
    </w:p>
    <w:p>
      <w:pPr>
        <w:pStyle w:val="ListBullet"/>
        <w:spacing w:after="60"/>
        <w:ind w:left="283"/>
      </w:pPr>
      <w:r>
        <w:rPr>
          <w:rFonts w:ascii="游明朝" w:hAnsi="游明朝" w:eastAsia="游明朝"/>
          <w:sz w:val="21"/>
        </w:rPr>
        <w:t>賃金引上げ加算を狙う場合は事業計画段階から賃上げ率を計画しておく</w:t>
      </w:r>
    </w:p>
    <w:p>
      <w:pPr>
        <w:pStyle w:val="ListBullet"/>
        <w:spacing w:after="60"/>
        <w:ind w:left="283"/>
      </w:pPr>
      <w:r>
        <w:rPr>
          <w:rFonts w:ascii="游明朝" w:hAnsi="游明朝" w:eastAsia="游明朝"/>
          <w:sz w:val="21"/>
        </w:rPr>
        <w:t>申請期限（令和7年11月28日）までに交付申請を行い、年度末（翌2月14日）までに取り組みを完了する必要あり</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276DC4"/>
          </w:tcPr>
          <w:p>
            <w:pPr>
              <w:jc w:val="center"/>
            </w:pPr>
            <w:r>
              <w:rPr>
                <w:rFonts w:ascii="游ゴシック" w:hAnsi="游ゴシック" w:eastAsia="游ゴシック"/>
                <w:b/>
                <w:color w:val="FFFFFF"/>
                <w:sz w:val="26"/>
              </w:rPr>
              <w:t>コース② 勤務間インターバル導入コース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勤務終了後から次の勤務開始まで一定の「休息時間（インターバル）」を設ける制度の導入を支援します。2019年4月から中小企業も制度導入が努力義務化されており、労働者の睡眠時間・生活時間の確保と過重労働防止が目的です。</w:t>
      </w:r>
    </w:p>
    <w:p>
      <w:pPr>
        <w:jc w:val="left"/>
      </w:pPr>
      <w:r>
        <w:rPr>
          <w:rFonts w:ascii="游ゴシック" w:hAnsi="游ゴシック" w:eastAsia="游ゴシック"/>
          <w:b/>
          <w:color w:val="3786C8"/>
          <w:sz w:val="24"/>
        </w:rPr>
        <w:t>【対象事業主の主な要件】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規模要件</w:t>
            </w:r>
          </w:p>
        </w:tc>
        <w:tc>
          <w:tcPr>
            <w:tcW w:type="dxa" w:w="7030"/>
          </w:tcPr>
          <w:p>
            <w:r>
              <w:rPr>
                <w:rFonts w:ascii="游明朝" w:hAnsi="游明朝" w:eastAsia="游明朝"/>
                <w:sz w:val="20"/>
              </w:rPr>
              <w:t>中小企業事業主</w:t>
            </w:r>
          </w:p>
        </w:tc>
      </w:tr>
      <w:tr>
        <w:tc>
          <w:tcPr>
            <w:tcW w:type="dxa" w:w="2154"/>
            <w:shd w:val="clear" w:color="auto" w:fill="D6E4F7"/>
            <w:vAlign w:val="center"/>
          </w:tcPr>
          <w:p>
            <w:pPr>
              <w:jc w:val="center"/>
            </w:pPr>
            <w:r>
              <w:rPr>
                <w:rFonts w:ascii="游ゴシック" w:hAnsi="游ゴシック" w:eastAsia="游ゴシック"/>
                <w:b/>
                <w:sz w:val="20"/>
              </w:rPr>
              <w:t>現状確認</w:t>
            </w:r>
          </w:p>
        </w:tc>
        <w:tc>
          <w:tcPr>
            <w:tcW w:type="dxa" w:w="7030"/>
          </w:tcPr>
          <w:p>
            <w:r>
              <w:rPr>
                <w:rFonts w:ascii="游明朝" w:hAnsi="游明朝" w:eastAsia="游明朝"/>
                <w:sz w:val="20"/>
              </w:rPr>
              <w:t>勤務間インターバルの未導入、または一部事業場に未導入の状態であること</w:t>
            </w:r>
          </w:p>
        </w:tc>
      </w:tr>
      <w:tr>
        <w:tc>
          <w:tcPr>
            <w:tcW w:type="dxa" w:w="2154"/>
            <w:shd w:val="clear" w:color="auto" w:fill="D6E4F7"/>
            <w:vAlign w:val="center"/>
          </w:tcPr>
          <w:p>
            <w:pPr>
              <w:jc w:val="center"/>
            </w:pPr>
            <w:r>
              <w:rPr>
                <w:rFonts w:ascii="游ゴシック" w:hAnsi="游ゴシック" w:eastAsia="游ゴシック"/>
                <w:b/>
                <w:sz w:val="20"/>
              </w:rPr>
              <w:t>年休整備</w:t>
            </w:r>
          </w:p>
        </w:tc>
        <w:tc>
          <w:tcPr>
            <w:tcW w:type="dxa" w:w="7030"/>
          </w:tcPr>
          <w:p>
            <w:r>
              <w:rPr>
                <w:rFonts w:ascii="游明朝" w:hAnsi="游明朝" w:eastAsia="游明朝"/>
                <w:sz w:val="20"/>
              </w:rPr>
              <w:t>全対象事業場で年5日の年次有給休暇取得に向けた就業規則等を整備済みであること</w:t>
            </w:r>
          </w:p>
        </w:tc>
      </w:tr>
    </w:tbl>
    <w:p/>
    <w:p>
      <w:pPr>
        <w:jc w:val="left"/>
      </w:pPr>
      <w:r>
        <w:rPr>
          <w:rFonts w:ascii="游ゴシック" w:hAnsi="游ゴシック" w:eastAsia="游ゴシック"/>
          <w:b/>
          <w:color w:val="3786C8"/>
          <w:sz w:val="24"/>
        </w:rPr>
        <w:t>【助成対象の主な取り組み（成果目標）】</w:t>
      </w:r>
    </w:p>
    <w:p>
      <w:pPr>
        <w:pStyle w:val="ListBullet"/>
        <w:spacing w:after="60"/>
        <w:ind w:left="283"/>
      </w:pPr>
      <w:r>
        <w:rPr>
          <w:rFonts w:ascii="游明朝" w:hAnsi="游明朝" w:eastAsia="游明朝"/>
          <w:sz w:val="21"/>
        </w:rPr>
        <w:t>勤務間インターバルを「新たに」導入する（就業規則等への規定）</w:t>
      </w:r>
    </w:p>
    <w:p>
      <w:pPr>
        <w:pStyle w:val="ListBullet"/>
        <w:spacing w:after="60"/>
        <w:ind w:left="283"/>
      </w:pPr>
      <w:r>
        <w:rPr>
          <w:rFonts w:ascii="游明朝" w:hAnsi="游明朝" w:eastAsia="游明朝"/>
          <w:sz w:val="21"/>
        </w:rPr>
        <w:t>インターバル時間の拡大（例：9時間→11時間以上）</w:t>
      </w:r>
    </w:p>
    <w:p>
      <w:pPr>
        <w:pStyle w:val="ListBullet"/>
        <w:spacing w:after="60"/>
        <w:ind w:left="283"/>
      </w:pPr>
      <w:r>
        <w:rPr>
          <w:rFonts w:ascii="游明朝" w:hAnsi="游明朝" w:eastAsia="游明朝"/>
          <w:sz w:val="21"/>
        </w:rPr>
        <w:t>対象となる労働者の範囲の拡大</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対象経費の3/4（特定条件では4/5）</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・新規導入（11時間以上）：最大120万円（令和7年度）</w:t>
              <w:br/>
              <w:t>・インターバル時間拡大・対象範囲拡大：取り組み内容により異なる</w:t>
              <w:br/>
              <w:t>・賃金引上げ加算あり（3%・5%・7%以上の区分）</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就業規則・労使協定の変更費用、コンサルタント費用、</w:t>
              <w:br/>
              <w:t>シフト管理システム導入費、研修費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「勤務間インターバル」を就業規則等に明記することが必須。口頭運用では不可</w:t>
      </w:r>
    </w:p>
    <w:p>
      <w:pPr>
        <w:pStyle w:val="ListBullet"/>
        <w:spacing w:after="60"/>
        <w:ind w:left="283"/>
      </w:pPr>
      <w:r>
        <w:rPr>
          <w:rFonts w:ascii="游明朝" w:hAnsi="游明朝" w:eastAsia="游明朝"/>
          <w:sz w:val="21"/>
        </w:rPr>
        <w:t>対象は「全事業場」ではなく「一の事業場」単位でも申請可能（要確認）</w:t>
      </w:r>
    </w:p>
    <w:p>
      <w:pPr>
        <w:pStyle w:val="ListBullet"/>
        <w:spacing w:after="60"/>
        <w:ind w:left="283"/>
      </w:pPr>
      <w:r>
        <w:rPr>
          <w:rFonts w:ascii="游明朝" w:hAnsi="游明朝" w:eastAsia="游明朝"/>
          <w:sz w:val="21"/>
        </w:rPr>
        <w:t>インターバルを長く設定するほど上限額が高くなる傾向あり（9時間・10時間・11時間以上で区分）</w:t>
      </w:r>
    </w:p>
    <w:p>
      <w:pPr>
        <w:pStyle w:val="ListBullet"/>
        <w:spacing w:after="60"/>
        <w:ind w:left="283"/>
      </w:pPr>
      <w:r>
        <w:rPr>
          <w:rFonts w:ascii="游明朝" w:hAnsi="游明朝" w:eastAsia="游明朝"/>
          <w:sz w:val="21"/>
        </w:rPr>
        <w:t>導入後は実際の運用実績（出退勤記録等）を保存しておくこと（実施結果報告時に必要）</w:t>
      </w:r>
    </w:p>
    <w:p>
      <w:pPr>
        <w:pStyle w:val="ListBullet"/>
        <w:spacing w:after="60"/>
        <w:ind w:left="283"/>
      </w:pPr>
      <w:r>
        <w:rPr>
          <w:rFonts w:ascii="游明朝" w:hAnsi="游明朝" w:eastAsia="游明朝"/>
          <w:sz w:val="21"/>
        </w:rPr>
        <w:t>賃金引上げ加算は他のコース同様、3%/5%/7%以上の引上げ率で加算額が変わる</w:t>
      </w:r>
    </w:p>
    <w:p>
      <w:pPr>
        <w:pStyle w:val="ListBullet"/>
        <w:spacing w:after="60"/>
        <w:ind w:left="283"/>
      </w:pPr>
      <w:r>
        <w:rPr>
          <w:rFonts w:ascii="游明朝" w:hAnsi="游明朝" w:eastAsia="游明朝"/>
          <w:sz w:val="21"/>
        </w:rPr>
        <w:t>深夜・早朝業務の多い業種（飲食・宿泊・医療等）で特に効果的な取り組み</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37558C"/>
          </w:tcPr>
          <w:p>
            <w:pPr>
              <w:jc w:val="center"/>
            </w:pPr>
            <w:r>
              <w:rPr>
                <w:rFonts w:ascii="游ゴシック" w:hAnsi="游ゴシック" w:eastAsia="游ゴシック"/>
                <w:b/>
                <w:color w:val="FFFFFF"/>
                <w:sz w:val="26"/>
              </w:rPr>
              <w:t>コース③ 業種別課題対応コース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時間外労働の上限規制の適用が猶予・除外されていた業種（建設業・運送業・病院等・砂糖製造業）および令和7年度から新たに追加された情報通信業・宿泊業を対象に、業種固有の課題に応じた時間外労働削減・休日確保の取り組みを支援します。令和7年度に名称が「猶予業種等対応コース」から「業種別課題対応コース」に変更されました。</w:t>
      </w:r>
    </w:p>
    <w:p>
      <w:pPr>
        <w:jc w:val="left"/>
      </w:pPr>
      <w:r>
        <w:rPr>
          <w:rFonts w:ascii="游ゴシック" w:hAnsi="游ゴシック" w:eastAsia="游ゴシック"/>
          <w:b/>
          <w:color w:val="3786C8"/>
          <w:sz w:val="24"/>
        </w:rPr>
        <w:t>【対象業種・事業主の要件】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対象業種</w:t>
            </w:r>
          </w:p>
        </w:tc>
        <w:tc>
          <w:tcPr>
            <w:tcW w:type="dxa" w:w="7030"/>
          </w:tcPr>
          <w:p>
            <w:r>
              <w:rPr>
                <w:rFonts w:ascii="游明朝" w:hAnsi="游明朝" w:eastAsia="游明朝"/>
                <w:sz w:val="20"/>
              </w:rPr>
              <w:t>①建設業（資本金3億円以下または常用労働者300人以下）</w:t>
              <w:br/>
              <w:t>②自動車運転業務（運送業：資本金3億円以下または300人以下）</w:t>
              <w:br/>
              <w:t>③病院等（医師・看護師等を含む医療機関：資本金5,000万円以下または100人以下）</w:t>
              <w:br/>
              <w:t>④砂糖製造業（さとうきびを原料とするもの）</w:t>
              <w:br/>
              <w:t>⑤情報通信業（令和7年度新規追加）</w:t>
              <w:br/>
              <w:t>⑥宿泊業（令和7年度新規追加）</w:t>
            </w:r>
          </w:p>
        </w:tc>
      </w:tr>
      <w:tr>
        <w:tc>
          <w:tcPr>
            <w:tcW w:type="dxa" w:w="2154"/>
            <w:shd w:val="clear" w:color="auto" w:fill="D6E4F7"/>
            <w:vAlign w:val="center"/>
          </w:tcPr>
          <w:p>
            <w:pPr>
              <w:jc w:val="center"/>
            </w:pPr>
            <w:r>
              <w:rPr>
                <w:rFonts w:ascii="游ゴシック" w:hAnsi="游ゴシック" w:eastAsia="游ゴシック"/>
                <w:b/>
                <w:sz w:val="20"/>
              </w:rPr>
              <w:t>共通要件</w:t>
            </w:r>
          </w:p>
        </w:tc>
        <w:tc>
          <w:tcPr>
            <w:tcW w:type="dxa" w:w="7030"/>
          </w:tcPr>
          <w:p>
            <w:r>
              <w:rPr>
                <w:rFonts w:ascii="游明朝" w:hAnsi="游明朝" w:eastAsia="游明朝"/>
                <w:sz w:val="20"/>
              </w:rPr>
              <w:t>・労働者災害補償保険の適用事業主</w:t>
              <w:br/>
              <w:t>・全対象事業場で年5日の年次有給休暇取得に向けた就業規則等を整備済み</w:t>
              <w:br/>
              <w:t>・36協定を締結・届出済みであること</w:t>
            </w:r>
          </w:p>
        </w:tc>
      </w:tr>
    </w:tbl>
    <w:p/>
    <w:p>
      <w:pPr>
        <w:jc w:val="left"/>
      </w:pPr>
      <w:r>
        <w:rPr>
          <w:rFonts w:ascii="游ゴシック" w:hAnsi="游ゴシック" w:eastAsia="游ゴシック"/>
          <w:b/>
          <w:color w:val="3786C8"/>
          <w:sz w:val="24"/>
        </w:rPr>
        <w:t>【助成対象の主な取り組み（成果目標）】</w:t>
      </w:r>
    </w:p>
    <w:p>
      <w:pPr>
        <w:pStyle w:val="ListBullet"/>
        <w:spacing w:after="60"/>
        <w:ind w:left="283"/>
      </w:pPr>
      <w:r>
        <w:rPr>
          <w:rFonts w:ascii="游明朝" w:hAnsi="游明朝" w:eastAsia="游明朝"/>
          <w:sz w:val="21"/>
        </w:rPr>
        <w:t>時間外・休日労働時間数の縮減（月60時間以下・45時間以下等）</w:t>
      </w:r>
    </w:p>
    <w:p>
      <w:pPr>
        <w:pStyle w:val="ListBullet"/>
        <w:spacing w:after="60"/>
        <w:ind w:left="283"/>
      </w:pPr>
      <w:r>
        <w:rPr>
          <w:rFonts w:ascii="游明朝" w:hAnsi="游明朝" w:eastAsia="游明朝"/>
          <w:sz w:val="21"/>
        </w:rPr>
        <w:t>年次有給休暇の計画的付与制度の新規導入</w:t>
      </w:r>
    </w:p>
    <w:p>
      <w:pPr>
        <w:pStyle w:val="ListBullet"/>
        <w:spacing w:after="60"/>
        <w:ind w:left="283"/>
      </w:pPr>
      <w:r>
        <w:rPr>
          <w:rFonts w:ascii="游明朝" w:hAnsi="游明朝" w:eastAsia="游明朝"/>
          <w:sz w:val="21"/>
        </w:rPr>
        <w:t>時間単位年次有給休暇制度の新規導入</w:t>
      </w:r>
    </w:p>
    <w:p>
      <w:pPr>
        <w:pStyle w:val="ListBullet"/>
        <w:spacing w:after="60"/>
        <w:ind w:left="283"/>
      </w:pPr>
      <w:r>
        <w:rPr>
          <w:rFonts w:ascii="游明朝" w:hAnsi="游明朝" w:eastAsia="游明朝"/>
          <w:sz w:val="21"/>
        </w:rPr>
        <w:t>勤務間インターバル制度の新規導入</w:t>
      </w:r>
    </w:p>
    <w:p>
      <w:pPr>
        <w:pStyle w:val="ListBullet"/>
        <w:spacing w:after="60"/>
        <w:ind w:left="283"/>
      </w:pPr>
      <w:r>
        <w:rPr>
          <w:rFonts w:ascii="游明朝" w:hAnsi="游明朝" w:eastAsia="游明朝"/>
          <w:sz w:val="21"/>
        </w:rPr>
        <w:t>特別休暇（病気・育児・介護等）の新規導入</w:t>
      </w:r>
    </w:p>
    <w:p>
      <w:pPr>
        <w:pStyle w:val="ListBullet"/>
        <w:spacing w:after="60"/>
        <w:ind w:left="283"/>
      </w:pPr>
      <w:r>
        <w:rPr>
          <w:rFonts w:ascii="游明朝" w:hAnsi="游明朝" w:eastAsia="游明朝"/>
          <w:sz w:val="21"/>
        </w:rPr>
        <w:t>建設業：4週8休以上の確保（いわゆる「週休2日」の実現）</w:t>
      </w:r>
    </w:p>
    <w:p>
      <w:pPr>
        <w:pStyle w:val="ListBullet"/>
        <w:spacing w:after="60"/>
        <w:ind w:left="283"/>
      </w:pPr>
      <w:r>
        <w:rPr>
          <w:rFonts w:ascii="游明朝" w:hAnsi="游明朝" w:eastAsia="游明朝"/>
          <w:sz w:val="21"/>
        </w:rPr>
        <w:t>運送業：拘束時間・連続運転時間の削減に向けた取り組み</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対象経費の3/4（特定条件では4/5）</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成果目標ごとの上限額の合計＋賃金引上げ加算額</w:t>
              <w:br/>
              <w:t>（取り組みの組み合わせにより最大数百万円規模）</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就業規則・労使協定の変更、コンサルタント、研修、</w:t>
              <w:br/>
              <w:t>システム導入（勤怠管理・配車管理等）、人材確保費用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自社が対象業種に該当するかを産業分類で確認すること（日本標準産業分類に基づく）</w:t>
      </w:r>
    </w:p>
    <w:p>
      <w:pPr>
        <w:pStyle w:val="ListBullet"/>
        <w:spacing w:after="60"/>
        <w:ind w:left="283"/>
      </w:pPr>
      <w:r>
        <w:rPr>
          <w:rFonts w:ascii="游明朝" w:hAnsi="游明朝" w:eastAsia="游明朝"/>
          <w:sz w:val="21"/>
        </w:rPr>
        <w:t>建設業の「4週8休」は下請け企業が単独で達成するのが難しいケースもあるため、元請けとの連携が重要</w:t>
      </w:r>
    </w:p>
    <w:p>
      <w:pPr>
        <w:pStyle w:val="ListBullet"/>
        <w:spacing w:after="60"/>
        <w:ind w:left="283"/>
      </w:pPr>
      <w:r>
        <w:rPr>
          <w:rFonts w:ascii="游明朝" w:hAnsi="游明朝" w:eastAsia="游明朝"/>
          <w:sz w:val="21"/>
        </w:rPr>
        <w:t>運送業は荷主との協力がポイント。取引環境改善コースとの組み合わせも検討する</w:t>
      </w:r>
    </w:p>
    <w:p>
      <w:pPr>
        <w:pStyle w:val="ListBullet"/>
        <w:spacing w:after="60"/>
        <w:ind w:left="283"/>
      </w:pPr>
      <w:r>
        <w:rPr>
          <w:rFonts w:ascii="游明朝" w:hAnsi="游明朝" w:eastAsia="游明朝"/>
          <w:sz w:val="21"/>
        </w:rPr>
        <w:t>医療機関（病院等）は医師の時間外上限規制対応と併せて活用を検討する</w:t>
      </w:r>
    </w:p>
    <w:p>
      <w:pPr>
        <w:pStyle w:val="ListBullet"/>
        <w:spacing w:after="60"/>
        <w:ind w:left="283"/>
      </w:pPr>
      <w:r>
        <w:rPr>
          <w:rFonts w:ascii="游明朝" w:hAnsi="游明朝" w:eastAsia="游明朝"/>
          <w:sz w:val="21"/>
        </w:rPr>
        <w:t>情報通信業・宿泊業は令和7年度から新規対象。早期に申請準備を開始することを推奨</w:t>
      </w:r>
    </w:p>
    <w:p>
      <w:pPr>
        <w:pStyle w:val="ListBullet"/>
        <w:spacing w:after="60"/>
        <w:ind w:left="283"/>
      </w:pPr>
      <w:r>
        <w:rPr>
          <w:rFonts w:ascii="游明朝" w:hAnsi="游明朝" w:eastAsia="游明朝"/>
          <w:sz w:val="21"/>
        </w:rPr>
        <w:t>複数の成果目標を組み合わせるほど助成上限が高くなるため、取り組みのパッケージを検討する</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1E5C99"/>
          </w:tcPr>
          <w:p>
            <w:pPr>
              <w:jc w:val="center"/>
            </w:pPr>
            <w:r>
              <w:rPr>
                <w:rFonts w:ascii="游ゴシック" w:hAnsi="游ゴシック" w:eastAsia="游ゴシック"/>
                <w:b/>
                <w:color w:val="FFFFFF"/>
                <w:sz w:val="26"/>
              </w:rPr>
              <w:t>コース④ 団体推進コース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事業主団体や共同事業主（10事業主以上で構成）が、傘下の中小企業事業主に対して労働条件の改善に向けた支援（セミナー開催、専門家派遣、ツール提供等）を実施する場合にその費用を助成します。個社ではなく「団体」が申請主体になるコースです。</w:t>
      </w:r>
    </w:p>
    <w:p>
      <w:pPr>
        <w:jc w:val="left"/>
      </w:pPr>
      <w:r>
        <w:rPr>
          <w:rFonts w:ascii="游ゴシック" w:hAnsi="游ゴシック" w:eastAsia="游ゴシック"/>
          <w:b/>
          <w:color w:val="3786C8"/>
          <w:sz w:val="24"/>
        </w:rPr>
        <w:t>【対象（申請主体の要件）】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申請主体</w:t>
            </w:r>
          </w:p>
        </w:tc>
        <w:tc>
          <w:tcPr>
            <w:tcW w:type="dxa" w:w="7030"/>
          </w:tcPr>
          <w:p>
            <w:r>
              <w:rPr>
                <w:rFonts w:ascii="游明朝" w:hAnsi="游明朝" w:eastAsia="游明朝"/>
                <w:sz w:val="20"/>
              </w:rPr>
              <w:t>事業主団体（中小企業事業主で構成）または共同事業主</w:t>
            </w:r>
          </w:p>
        </w:tc>
      </w:tr>
      <w:tr>
        <w:tc>
          <w:tcPr>
            <w:tcW w:type="dxa" w:w="2154"/>
            <w:shd w:val="clear" w:color="auto" w:fill="D6E4F7"/>
            <w:vAlign w:val="center"/>
          </w:tcPr>
          <w:p>
            <w:pPr>
              <w:jc w:val="center"/>
            </w:pPr>
            <w:r>
              <w:rPr>
                <w:rFonts w:ascii="游ゴシック" w:hAnsi="游ゴシック" w:eastAsia="游ゴシック"/>
                <w:b/>
                <w:sz w:val="20"/>
              </w:rPr>
              <w:t>構成要件</w:t>
            </w:r>
          </w:p>
        </w:tc>
        <w:tc>
          <w:tcPr>
            <w:tcW w:type="dxa" w:w="7030"/>
          </w:tcPr>
          <w:p>
            <w:r>
              <w:rPr>
                <w:rFonts w:ascii="游明朝" w:hAnsi="游明朝" w:eastAsia="游明朝"/>
                <w:sz w:val="20"/>
              </w:rPr>
              <w:t>・10事業主以上で構成されていること</w:t>
              <w:br/>
              <w:t>・1年以上の活動実績があること</w:t>
              <w:br/>
              <w:t>・傘下企業が中小企業事業主であること</w:t>
            </w:r>
          </w:p>
        </w:tc>
      </w:tr>
      <w:tr>
        <w:tc>
          <w:tcPr>
            <w:tcW w:type="dxa" w:w="2154"/>
            <w:shd w:val="clear" w:color="auto" w:fill="D6E4F7"/>
            <w:vAlign w:val="center"/>
          </w:tcPr>
          <w:p>
            <w:pPr>
              <w:jc w:val="center"/>
            </w:pPr>
            <w:r>
              <w:rPr>
                <w:rFonts w:ascii="游ゴシック" w:hAnsi="游ゴシック" w:eastAsia="游ゴシック"/>
                <w:b/>
                <w:sz w:val="20"/>
              </w:rPr>
              <w:t>規模別上限</w:t>
            </w:r>
          </w:p>
        </w:tc>
        <w:tc>
          <w:tcPr>
            <w:tcW w:type="dxa" w:w="7030"/>
          </w:tcPr>
          <w:p>
            <w:r>
              <w:rPr>
                <w:rFonts w:ascii="游明朝" w:hAnsi="游明朝" w:eastAsia="游明朝"/>
                <w:sz w:val="20"/>
              </w:rPr>
              <w:t>・通常：助成上限額500万円</w:t>
              <w:br/>
              <w:t>・構成事業主が複数都道府県または市区町村にまたがる場合：上限1,000万円</w:t>
            </w:r>
          </w:p>
        </w:tc>
      </w:tr>
    </w:tbl>
    <w:p/>
    <w:p>
      <w:pPr>
        <w:jc w:val="left"/>
      </w:pPr>
      <w:r>
        <w:rPr>
          <w:rFonts w:ascii="游ゴシック" w:hAnsi="游ゴシック" w:eastAsia="游ゴシック"/>
          <w:b/>
          <w:color w:val="3786C8"/>
          <w:sz w:val="24"/>
        </w:rPr>
        <w:t>【助成対象の主な取り組み】</w:t>
      </w:r>
    </w:p>
    <w:p>
      <w:pPr>
        <w:pStyle w:val="ListBullet"/>
        <w:spacing w:after="60"/>
        <w:ind w:left="283"/>
      </w:pPr>
      <w:r>
        <w:rPr>
          <w:rFonts w:ascii="游明朝" w:hAnsi="游明朝" w:eastAsia="游明朝"/>
          <w:sz w:val="21"/>
        </w:rPr>
        <w:t>傘下企業向けのセミナー・研修の開催</w:t>
      </w:r>
    </w:p>
    <w:p>
      <w:pPr>
        <w:pStyle w:val="ListBullet"/>
        <w:spacing w:after="60"/>
        <w:ind w:left="283"/>
      </w:pPr>
      <w:r>
        <w:rPr>
          <w:rFonts w:ascii="游明朝" w:hAnsi="游明朝" w:eastAsia="游明朝"/>
          <w:sz w:val="21"/>
        </w:rPr>
        <w:t>傘下企業への専門家（社労士・コンサルタント等）の派遣</w:t>
      </w:r>
    </w:p>
    <w:p>
      <w:pPr>
        <w:pStyle w:val="ListBullet"/>
        <w:spacing w:after="60"/>
        <w:ind w:left="283"/>
      </w:pPr>
      <w:r>
        <w:rPr>
          <w:rFonts w:ascii="游明朝" w:hAnsi="游明朝" w:eastAsia="游明朝"/>
          <w:sz w:val="21"/>
        </w:rPr>
        <w:t>傘下企業が活用できる就業規則モデル・ツール類の作成・提供</w:t>
      </w:r>
    </w:p>
    <w:p>
      <w:pPr>
        <w:pStyle w:val="ListBullet"/>
        <w:spacing w:after="60"/>
        <w:ind w:left="283"/>
      </w:pPr>
      <w:r>
        <w:rPr>
          <w:rFonts w:ascii="游明朝" w:hAnsi="游明朝" w:eastAsia="游明朝"/>
          <w:sz w:val="21"/>
        </w:rPr>
        <w:t>傘下企業の労働条件改善に向けた個別相談・指導</w:t>
      </w:r>
    </w:p>
    <w:p>
      <w:pPr>
        <w:pStyle w:val="ListBullet"/>
        <w:spacing w:after="60"/>
        <w:ind w:left="283"/>
      </w:pPr>
      <w:r>
        <w:rPr>
          <w:rFonts w:ascii="游明朝" w:hAnsi="游明朝" w:eastAsia="游明朝"/>
          <w:sz w:val="21"/>
        </w:rPr>
        <w:t>業種・地域の実態調査や課題把握のための調査・研究</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対象経費の10/10（100%）※他コースと異なり全額助成</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・500万円（通常）</w:t>
              <w:br/>
              <w:t>・1,000万円（複数都道府県・市区町村にまたがる場合）</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専門家派遣費用、セミナー開催費（会場・講師料等）、</w:t>
              <w:br/>
              <w:t>モデル就業規則作成費、調査費、印刷・資料作成費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助成率が100%という点が大きな特徴。団体として積極的に活用を検討する価値あり</w:t>
      </w:r>
    </w:p>
    <w:p>
      <w:pPr>
        <w:pStyle w:val="ListBullet"/>
        <w:spacing w:after="60"/>
        <w:ind w:left="283"/>
      </w:pPr>
      <w:r>
        <w:rPr>
          <w:rFonts w:ascii="游明朝" w:hAnsi="游明朝" w:eastAsia="游明朝"/>
          <w:sz w:val="21"/>
        </w:rPr>
        <w:t>「1年以上の活動実績」が必要。設立間もない団体は要件を満たさない場合がある</w:t>
      </w:r>
    </w:p>
    <w:p>
      <w:pPr>
        <w:pStyle w:val="ListBullet"/>
        <w:spacing w:after="60"/>
        <w:ind w:left="283"/>
      </w:pPr>
      <w:r>
        <w:rPr>
          <w:rFonts w:ascii="游明朝" w:hAnsi="游明朝" w:eastAsia="游明朝"/>
          <w:sz w:val="21"/>
        </w:rPr>
        <w:t>傘下企業が10社以上であることの証明書類（会員名簿等）を整備しておく</w:t>
      </w:r>
    </w:p>
    <w:p>
      <w:pPr>
        <w:pStyle w:val="ListBullet"/>
        <w:spacing w:after="60"/>
        <w:ind w:left="283"/>
      </w:pPr>
      <w:r>
        <w:rPr>
          <w:rFonts w:ascii="游明朝" w:hAnsi="游明朝" w:eastAsia="游明朝"/>
          <w:sz w:val="21"/>
        </w:rPr>
        <w:t>申請者は団体自体だが、取り組みの恩恵は傘下の各事業主に及ぶ。傘下企業へ周知・連携が重要</w:t>
      </w:r>
    </w:p>
    <w:p>
      <w:pPr>
        <w:pStyle w:val="ListBullet"/>
        <w:spacing w:after="60"/>
        <w:ind w:left="283"/>
      </w:pPr>
      <w:r>
        <w:rPr>
          <w:rFonts w:ascii="游明朝" w:hAnsi="游明朝" w:eastAsia="游明朝"/>
          <w:sz w:val="21"/>
        </w:rPr>
        <w:t>事業計画書に実施内容・スケジュール・期待効果を具体的に記載することが採択のポイント</w:t>
      </w:r>
    </w:p>
    <w:p>
      <w:pPr>
        <w:pStyle w:val="ListBullet"/>
        <w:spacing w:after="60"/>
        <w:ind w:left="283"/>
      </w:pPr>
      <w:r>
        <w:rPr>
          <w:rFonts w:ascii="游明朝" w:hAnsi="游明朝" w:eastAsia="游明朝"/>
          <w:sz w:val="21"/>
        </w:rPr>
        <w:t>申請期限：令和7年11月28日（金）午後5時</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153D6B"/>
          </w:tcPr>
          <w:p>
            <w:pPr>
              <w:jc w:val="center"/>
            </w:pPr>
            <w:r>
              <w:rPr>
                <w:rFonts w:ascii="游ゴシック" w:hAnsi="游ゴシック" w:eastAsia="游ゴシック"/>
                <w:b/>
                <w:color w:val="FFFFFF"/>
                <w:sz w:val="26"/>
              </w:rPr>
              <w:t>コース⑤ 取引環境改善コース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荷主集団（荷主・倉庫事業者・運送事業者等で構成）が連携して、荷待ち時間・荷役時間の短縮や取引慣行の見直しを行い、トラックドライバーをはじめとする自動車運転者の時間外労働削減に取り組む場合に支援します。2024年4月から運送業にも時間外労働の上限規制（年960時間）が適用されており、荷主側の協力が不可欠な状況に対応するコースです。</w:t>
      </w:r>
    </w:p>
    <w:p>
      <w:pPr>
        <w:jc w:val="left"/>
      </w:pPr>
      <w:r>
        <w:rPr>
          <w:rFonts w:ascii="游ゴシック" w:hAnsi="游ゴシック" w:eastAsia="游ゴシック"/>
          <w:b/>
          <w:color w:val="3786C8"/>
          <w:sz w:val="24"/>
        </w:rPr>
        <w:t>【対象（申請主体・構成員の要件）】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申請主体</w:t>
            </w:r>
          </w:p>
        </w:tc>
        <w:tc>
          <w:tcPr>
            <w:tcW w:type="dxa" w:w="7030"/>
          </w:tcPr>
          <w:p>
            <w:r>
              <w:rPr>
                <w:rFonts w:ascii="游明朝" w:hAnsi="游明朝" w:eastAsia="游明朝"/>
                <w:sz w:val="20"/>
              </w:rPr>
              <w:t>荷主集団等を代表する「代表事業主」が申請</w:t>
            </w:r>
          </w:p>
        </w:tc>
      </w:tr>
      <w:tr>
        <w:tc>
          <w:tcPr>
            <w:tcW w:type="dxa" w:w="2154"/>
            <w:shd w:val="clear" w:color="auto" w:fill="D6E4F7"/>
            <w:vAlign w:val="center"/>
          </w:tcPr>
          <w:p>
            <w:pPr>
              <w:jc w:val="center"/>
            </w:pPr>
            <w:r>
              <w:rPr>
                <w:rFonts w:ascii="游ゴシック" w:hAnsi="游ゴシック" w:eastAsia="游ゴシック"/>
                <w:b/>
                <w:sz w:val="20"/>
              </w:rPr>
              <w:t>構成員</w:t>
            </w:r>
          </w:p>
        </w:tc>
        <w:tc>
          <w:tcPr>
            <w:tcW w:type="dxa" w:w="7030"/>
          </w:tcPr>
          <w:p>
            <w:r>
              <w:rPr>
                <w:rFonts w:ascii="游明朝" w:hAnsi="游明朝" w:eastAsia="游明朝"/>
                <w:sz w:val="20"/>
              </w:rPr>
              <w:t>・荷主（貨物輸送を依頼する事業者）</w:t>
              <w:br/>
              <w:t>・倉庫事業者（荷主との間で寄託契約を締結している者）</w:t>
              <w:br/>
              <w:t>・運送事業者（貨物自動車運送事業者または貨物利用運送事業者で、</w:t>
              <w:br/>
              <w:t xml:space="preserve">　 自動車運転者を雇用する中小企業事業主）</w:t>
            </w:r>
          </w:p>
        </w:tc>
      </w:tr>
      <w:tr>
        <w:tc>
          <w:tcPr>
            <w:tcW w:type="dxa" w:w="2154"/>
            <w:shd w:val="clear" w:color="auto" w:fill="D6E4F7"/>
            <w:vAlign w:val="center"/>
          </w:tcPr>
          <w:p>
            <w:pPr>
              <w:jc w:val="center"/>
            </w:pPr>
            <w:r>
              <w:rPr>
                <w:rFonts w:ascii="游ゴシック" w:hAnsi="游ゴシック" w:eastAsia="游ゴシック"/>
                <w:b/>
                <w:sz w:val="20"/>
              </w:rPr>
              <w:t>構成要件</w:t>
            </w:r>
          </w:p>
        </w:tc>
        <w:tc>
          <w:tcPr>
            <w:tcW w:type="dxa" w:w="7030"/>
          </w:tcPr>
          <w:p>
            <w:r>
              <w:rPr>
                <w:rFonts w:ascii="游明朝" w:hAnsi="游明朝" w:eastAsia="游明朝"/>
                <w:sz w:val="20"/>
              </w:rPr>
              <w:t>・構成員の運送事業者の2分の1以上に荷待ち・荷役時間・労働時間の</w:t>
              <w:br/>
              <w:t xml:space="preserve">　短縮効果が生じることが要件</w:t>
              <w:br/>
              <w:t>・荷主と運送事業者の双方が含まれること</w:t>
            </w:r>
          </w:p>
        </w:tc>
      </w:tr>
    </w:tbl>
    <w:p/>
    <w:p>
      <w:pPr>
        <w:jc w:val="left"/>
      </w:pPr>
      <w:r>
        <w:rPr>
          <w:rFonts w:ascii="游ゴシック" w:hAnsi="游ゴシック" w:eastAsia="游ゴシック"/>
          <w:b/>
          <w:color w:val="3786C8"/>
          <w:sz w:val="24"/>
        </w:rPr>
        <w:t>【助成対象の主な取り組み】</w:t>
      </w:r>
    </w:p>
    <w:p>
      <w:pPr>
        <w:pStyle w:val="ListBullet"/>
        <w:spacing w:after="60"/>
        <w:ind w:left="283"/>
      </w:pPr>
      <w:r>
        <w:rPr>
          <w:rFonts w:ascii="游明朝" w:hAnsi="游明朝" w:eastAsia="游明朝"/>
          <w:sz w:val="21"/>
        </w:rPr>
        <w:t>荷待ち時間削減のための積卸しスケジュールの見直し・調整</w:t>
      </w:r>
    </w:p>
    <w:p>
      <w:pPr>
        <w:pStyle w:val="ListBullet"/>
        <w:spacing w:after="60"/>
        <w:ind w:left="283"/>
      </w:pPr>
      <w:r>
        <w:rPr>
          <w:rFonts w:ascii="游明朝" w:hAnsi="游明朝" w:eastAsia="游明朝"/>
          <w:sz w:val="21"/>
        </w:rPr>
        <w:t>荷役作業の機械化・効率化（フォークリフト等の導入）</w:t>
      </w:r>
    </w:p>
    <w:p>
      <w:pPr>
        <w:pStyle w:val="ListBullet"/>
        <w:spacing w:after="60"/>
        <w:ind w:left="283"/>
      </w:pPr>
      <w:r>
        <w:rPr>
          <w:rFonts w:ascii="游明朝" w:hAnsi="游明朝" w:eastAsia="游明朝"/>
          <w:sz w:val="21"/>
        </w:rPr>
        <w:t>附帯作業（手積み・手降ろし等）の削減に向けた取引慣行の見直し</w:t>
      </w:r>
    </w:p>
    <w:p>
      <w:pPr>
        <w:pStyle w:val="ListBullet"/>
        <w:spacing w:after="60"/>
        <w:ind w:left="283"/>
      </w:pPr>
      <w:r>
        <w:rPr>
          <w:rFonts w:ascii="游明朝" w:hAnsi="游明朝" w:eastAsia="游明朝"/>
          <w:sz w:val="21"/>
        </w:rPr>
        <w:t>取引適正化に向けた荷主・運送事業者間の契約内容の整備（書面化等）</w:t>
      </w:r>
    </w:p>
    <w:p>
      <w:pPr>
        <w:pStyle w:val="ListBullet"/>
        <w:spacing w:after="60"/>
        <w:ind w:left="283"/>
      </w:pPr>
      <w:r>
        <w:rPr>
          <w:rFonts w:ascii="游明朝" w:hAnsi="游明朝" w:eastAsia="游明朝"/>
          <w:sz w:val="21"/>
        </w:rPr>
        <w:t>運行管理システムや荷物追跡システムの導入による業務効率化</w:t>
      </w:r>
    </w:p>
    <w:p>
      <w:pPr>
        <w:pStyle w:val="ListBullet"/>
        <w:spacing w:after="60"/>
        <w:ind w:left="283"/>
      </w:pPr>
      <w:r>
        <w:rPr>
          <w:rFonts w:ascii="游明朝" w:hAnsi="游明朝" w:eastAsia="游明朝"/>
          <w:sz w:val="21"/>
        </w:rPr>
        <w:t>関係者向けセミナー・研修の実施（取引適正化に関する理解促進）</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取り組み内容・構成員数等により異なる</w:t>
              <w:br/>
              <w:t>（詳細は交付申請マニュアルを参照）</w:t>
            </w:r>
          </w:p>
        </w:tc>
      </w:tr>
      <w:tr>
        <w:tc>
          <w:tcPr>
            <w:tcW w:type="dxa" w:w="2154"/>
            <w:shd w:val="clear" w:color="auto" w:fill="D6E4F7"/>
            <w:vAlign w:val="center"/>
          </w:tcPr>
          <w:p>
            <w:pPr>
              <w:jc w:val="center"/>
            </w:pPr>
            <w:r>
              <w:rPr>
                <w:rFonts w:ascii="游ゴシック" w:hAnsi="游ゴシック" w:eastAsia="游ゴシック"/>
                <w:b/>
                <w:sz w:val="20"/>
              </w:rPr>
              <w:t>実施期間</w:t>
            </w:r>
          </w:p>
        </w:tc>
        <w:tc>
          <w:tcPr>
            <w:tcW w:type="dxa" w:w="7030"/>
          </w:tcPr>
          <w:p>
            <w:r>
              <w:rPr>
                <w:rFonts w:ascii="游明朝" w:hAnsi="游明朝" w:eastAsia="游明朝"/>
                <w:sz w:val="20"/>
              </w:rPr>
              <w:t>交付決定日から当該年度の2月14日（日）まで</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機械・設備の導入費、システム開発・導入費、</w:t>
              <w:br/>
              <w:t>コンサルタント費用、研修・セミナー開催費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荷主・運送事業者の双方が参加する「集団」を組成することが申請の前提。単独事業者は不可</w:t>
      </w:r>
    </w:p>
    <w:p>
      <w:pPr>
        <w:pStyle w:val="ListBullet"/>
        <w:spacing w:after="60"/>
        <w:ind w:left="283"/>
      </w:pPr>
      <w:r>
        <w:rPr>
          <w:rFonts w:ascii="游明朝" w:hAnsi="游明朝" w:eastAsia="游明朝"/>
          <w:sz w:val="21"/>
        </w:rPr>
        <w:t>「構成員の運送事業者の2分の1以上」への効果が要件のため、参加事業者の範囲・規模を慎重に設定する</w:t>
      </w:r>
    </w:p>
    <w:p>
      <w:pPr>
        <w:pStyle w:val="ListBullet"/>
        <w:spacing w:after="60"/>
        <w:ind w:left="283"/>
      </w:pPr>
      <w:r>
        <w:rPr>
          <w:rFonts w:ascii="游明朝" w:hAnsi="游明朝" w:eastAsia="游明朝"/>
          <w:sz w:val="21"/>
        </w:rPr>
        <w:t>業種別課題対応コース（運送業）との違いを理解した上で、どちらが自社の状況に合うか確認する</w:t>
      </w:r>
    </w:p>
    <w:p>
      <w:pPr>
        <w:pStyle w:val="ListBullet"/>
        <w:spacing w:after="60"/>
        <w:ind w:left="283"/>
      </w:pPr>
      <w:r>
        <w:rPr>
          <w:rFonts w:ascii="游明朝" w:hAnsi="游明朝" w:eastAsia="游明朝"/>
          <w:sz w:val="21"/>
        </w:rPr>
        <w:t>荷主側の積極的な参加・協力が成否を左右する。事前に荷主へ制度を説明し巻き込むことが重要</w:t>
      </w:r>
    </w:p>
    <w:p>
      <w:pPr>
        <w:pStyle w:val="ListBullet"/>
        <w:spacing w:after="60"/>
        <w:ind w:left="283"/>
      </w:pPr>
      <w:r>
        <w:rPr>
          <w:rFonts w:ascii="游明朝" w:hAnsi="游明朝" w:eastAsia="游明朝"/>
          <w:sz w:val="21"/>
        </w:rPr>
        <w:t>荷待ち時間・荷役時間の現状把握（ヒアリング・記録）を申請前に行っておくことで計画の説得力が増す</w:t>
      </w:r>
    </w:p>
    <w:p>
      <w:pPr>
        <w:pStyle w:val="ListBullet"/>
        <w:spacing w:after="60"/>
        <w:ind w:left="283"/>
      </w:pPr>
      <w:r>
        <w:rPr>
          <w:rFonts w:ascii="游明朝" w:hAnsi="游明朝" w:eastAsia="游明朝"/>
          <w:sz w:val="21"/>
        </w:rPr>
        <w:t>2024年4月の運送業の上限規制適用に伴い、荷主も「協力義務」を負う。その観点から荷主への説得がしやすい環境</w:t>
      </w:r>
    </w:p>
    <w:p/>
    <w:p>
      <w:r>
        <w:br w:type="page"/>
      </w:r>
    </w:p>
    <w:p>
      <w:pPr>
        <w:jc w:val="left"/>
      </w:pPr>
      <w:r>
        <w:rPr>
          <w:rFonts w:ascii="游ゴシック" w:hAnsi="游ゴシック" w:eastAsia="游ゴシック"/>
          <w:b/>
          <w:color w:val="1F497D"/>
          <w:sz w:val="36"/>
        </w:rPr>
        <w:t>■ コース比較一覧表</w:t>
      </w:r>
    </w:p>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84"/>
            <w:shd w:val="clear" w:color="auto" w:fill="1F497D"/>
          </w:tcPr>
          <w:p>
            <w:pPr>
              <w:jc w:val="center"/>
            </w:pPr>
            <w:r>
              <w:rPr>
                <w:rFonts w:ascii="游ゴシック" w:hAnsi="游ゴシック" w:eastAsia="游ゴシック"/>
                <w:b/>
                <w:color w:val="FFFFFF"/>
                <w:sz w:val="20"/>
              </w:rPr>
              <w:t>コース</w:t>
            </w:r>
          </w:p>
        </w:tc>
        <w:tc>
          <w:tcPr>
            <w:tcW w:type="dxa" w:w="2268"/>
            <w:shd w:val="clear" w:color="auto" w:fill="1F497D"/>
          </w:tcPr>
          <w:p>
            <w:pPr>
              <w:jc w:val="center"/>
            </w:pPr>
            <w:r>
              <w:rPr>
                <w:rFonts w:ascii="游ゴシック" w:hAnsi="游ゴシック" w:eastAsia="游ゴシック"/>
                <w:b/>
                <w:color w:val="FFFFFF"/>
                <w:sz w:val="20"/>
              </w:rPr>
              <w:t>主な対象</w:t>
            </w:r>
          </w:p>
        </w:tc>
        <w:tc>
          <w:tcPr>
            <w:tcW w:type="dxa" w:w="1134"/>
            <w:shd w:val="clear" w:color="auto" w:fill="1F497D"/>
          </w:tcPr>
          <w:p>
            <w:pPr>
              <w:jc w:val="center"/>
            </w:pPr>
            <w:r>
              <w:rPr>
                <w:rFonts w:ascii="游ゴシック" w:hAnsi="游ゴシック" w:eastAsia="游ゴシック"/>
                <w:b/>
                <w:color w:val="FFFFFF"/>
                <w:sz w:val="20"/>
              </w:rPr>
              <w:t>助成率</w:t>
            </w:r>
          </w:p>
        </w:tc>
        <w:tc>
          <w:tcPr>
            <w:tcW w:type="dxa" w:w="1984"/>
            <w:shd w:val="clear" w:color="auto" w:fill="1F497D"/>
          </w:tcPr>
          <w:p>
            <w:pPr>
              <w:jc w:val="center"/>
            </w:pPr>
            <w:r>
              <w:rPr>
                <w:rFonts w:ascii="游ゴシック" w:hAnsi="游ゴシック" w:eastAsia="游ゴシック"/>
                <w:b/>
                <w:color w:val="FFFFFF"/>
                <w:sz w:val="20"/>
              </w:rPr>
              <w:t>上限額（目安）</w:t>
            </w:r>
          </w:p>
        </w:tc>
        <w:tc>
          <w:tcPr>
            <w:tcW w:type="dxa" w:w="2268"/>
            <w:shd w:val="clear" w:color="auto" w:fill="1F497D"/>
          </w:tcPr>
          <w:p>
            <w:pPr>
              <w:jc w:val="center"/>
            </w:pPr>
            <w:r>
              <w:rPr>
                <w:rFonts w:ascii="游ゴシック" w:hAnsi="游ゴシック" w:eastAsia="游ゴシック"/>
                <w:b/>
                <w:color w:val="FFFFFF"/>
                <w:sz w:val="20"/>
              </w:rPr>
              <w:t>特記事項</w:t>
            </w:r>
          </w:p>
        </w:tc>
      </w:tr>
      <w:tr>
        <w:tc>
          <w:tcPr>
            <w:tcW w:type="dxa" w:w="1984"/>
            <w:shd w:val="clear" w:color="auto" w:fill="FFFFFF"/>
          </w:tcPr>
          <w:p>
            <w:r>
              <w:rPr>
                <w:rFonts w:ascii="游明朝" w:hAnsi="游明朝" w:eastAsia="游明朝"/>
                <w:sz w:val="19"/>
              </w:rPr>
              <w:t>①労働時間短縮・年休促進支援</w:t>
            </w:r>
          </w:p>
        </w:tc>
        <w:tc>
          <w:tcPr>
            <w:tcW w:type="dxa" w:w="2268"/>
            <w:shd w:val="clear" w:color="auto" w:fill="FFFFFF"/>
          </w:tcPr>
          <w:p>
            <w:r>
              <w:rPr>
                <w:rFonts w:ascii="游明朝" w:hAnsi="游明朝" w:eastAsia="游明朝"/>
                <w:sz w:val="19"/>
              </w:rPr>
              <w:t>全業種の中小企業</w:t>
            </w:r>
          </w:p>
        </w:tc>
        <w:tc>
          <w:tcPr>
            <w:tcW w:type="dxa" w:w="1134"/>
            <w:shd w:val="clear" w:color="auto" w:fill="FFFFFF"/>
          </w:tcPr>
          <w:p>
            <w:r>
              <w:rPr>
                <w:rFonts w:ascii="游明朝" w:hAnsi="游明朝" w:eastAsia="游明朝"/>
                <w:sz w:val="19"/>
              </w:rPr>
              <w:t>3/4</w:t>
              <w:br/>
              <w:t>（条件付4/5）</w:t>
            </w:r>
          </w:p>
        </w:tc>
        <w:tc>
          <w:tcPr>
            <w:tcW w:type="dxa" w:w="1984"/>
            <w:shd w:val="clear" w:color="auto" w:fill="FFFFFF"/>
          </w:tcPr>
          <w:p>
            <w:r>
              <w:rPr>
                <w:rFonts w:ascii="游明朝" w:hAnsi="游明朝" w:eastAsia="游明朝"/>
                <w:sz w:val="19"/>
              </w:rPr>
              <w:t>最大150万円</w:t>
              <w:br/>
              <w:t>＋賃金加算</w:t>
            </w:r>
          </w:p>
        </w:tc>
        <w:tc>
          <w:tcPr>
            <w:tcW w:type="dxa" w:w="2268"/>
            <w:shd w:val="clear" w:color="auto" w:fill="FFFFFF"/>
          </w:tcPr>
          <w:p>
            <w:r>
              <w:rPr>
                <w:rFonts w:ascii="游明朝" w:hAnsi="游明朝" w:eastAsia="游明朝"/>
                <w:sz w:val="19"/>
              </w:rPr>
              <w:t>最も利用件数が多い基本コース</w:t>
            </w:r>
          </w:p>
        </w:tc>
      </w:tr>
      <w:tr>
        <w:tc>
          <w:tcPr>
            <w:tcW w:type="dxa" w:w="1984"/>
            <w:shd w:val="clear" w:color="auto" w:fill="EBF3FB"/>
          </w:tcPr>
          <w:p>
            <w:r>
              <w:rPr>
                <w:rFonts w:ascii="游明朝" w:hAnsi="游明朝" w:eastAsia="游明朝"/>
                <w:sz w:val="19"/>
              </w:rPr>
              <w:t>②勤務間インターバル導入</w:t>
            </w:r>
          </w:p>
        </w:tc>
        <w:tc>
          <w:tcPr>
            <w:tcW w:type="dxa" w:w="2268"/>
            <w:shd w:val="clear" w:color="auto" w:fill="EBF3FB"/>
          </w:tcPr>
          <w:p>
            <w:r>
              <w:rPr>
                <w:rFonts w:ascii="游明朝" w:hAnsi="游明朝" w:eastAsia="游明朝"/>
                <w:sz w:val="19"/>
              </w:rPr>
              <w:t>全業種の中小企業</w:t>
            </w:r>
          </w:p>
        </w:tc>
        <w:tc>
          <w:tcPr>
            <w:tcW w:type="dxa" w:w="1134"/>
            <w:shd w:val="clear" w:color="auto" w:fill="EBF3FB"/>
          </w:tcPr>
          <w:p>
            <w:r>
              <w:rPr>
                <w:rFonts w:ascii="游明朝" w:hAnsi="游明朝" w:eastAsia="游明朝"/>
                <w:sz w:val="19"/>
              </w:rPr>
              <w:t>3/4</w:t>
              <w:br/>
              <w:t>（条件付4/5）</w:t>
            </w:r>
          </w:p>
        </w:tc>
        <w:tc>
          <w:tcPr>
            <w:tcW w:type="dxa" w:w="1984"/>
            <w:shd w:val="clear" w:color="auto" w:fill="EBF3FB"/>
          </w:tcPr>
          <w:p>
            <w:r>
              <w:rPr>
                <w:rFonts w:ascii="游明朝" w:hAnsi="游明朝" w:eastAsia="游明朝"/>
                <w:sz w:val="19"/>
              </w:rPr>
              <w:t>最大120万円</w:t>
              <w:br/>
              <w:t>＋賃金加算</w:t>
            </w:r>
          </w:p>
        </w:tc>
        <w:tc>
          <w:tcPr>
            <w:tcW w:type="dxa" w:w="2268"/>
            <w:shd w:val="clear" w:color="auto" w:fill="EBF3FB"/>
          </w:tcPr>
          <w:p>
            <w:r>
              <w:rPr>
                <w:rFonts w:ascii="游明朝" w:hAnsi="游明朝" w:eastAsia="游明朝"/>
                <w:sz w:val="19"/>
              </w:rPr>
              <w:t>インターバル時間で助成額が変わる</w:t>
            </w:r>
          </w:p>
        </w:tc>
      </w:tr>
      <w:tr>
        <w:tc>
          <w:tcPr>
            <w:tcW w:type="dxa" w:w="1984"/>
            <w:shd w:val="clear" w:color="auto" w:fill="FFFFFF"/>
          </w:tcPr>
          <w:p>
            <w:r>
              <w:rPr>
                <w:rFonts w:ascii="游明朝" w:hAnsi="游明朝" w:eastAsia="游明朝"/>
                <w:sz w:val="19"/>
              </w:rPr>
              <w:t>③業種別課題対応</w:t>
            </w:r>
          </w:p>
        </w:tc>
        <w:tc>
          <w:tcPr>
            <w:tcW w:type="dxa" w:w="2268"/>
            <w:shd w:val="clear" w:color="auto" w:fill="FFFFFF"/>
          </w:tcPr>
          <w:p>
            <w:r>
              <w:rPr>
                <w:rFonts w:ascii="游明朝" w:hAnsi="游明朝" w:eastAsia="游明朝"/>
                <w:sz w:val="19"/>
              </w:rPr>
              <w:t>建設・運送・医療・</w:t>
              <w:br/>
              <w:t>砂糖・情報・宿泊業</w:t>
            </w:r>
          </w:p>
        </w:tc>
        <w:tc>
          <w:tcPr>
            <w:tcW w:type="dxa" w:w="1134"/>
            <w:shd w:val="clear" w:color="auto" w:fill="FFFFFF"/>
          </w:tcPr>
          <w:p>
            <w:r>
              <w:rPr>
                <w:rFonts w:ascii="游明朝" w:hAnsi="游明朝" w:eastAsia="游明朝"/>
                <w:sz w:val="19"/>
              </w:rPr>
              <w:t>3/4</w:t>
              <w:br/>
              <w:t>（条件付4/5）</w:t>
            </w:r>
          </w:p>
        </w:tc>
        <w:tc>
          <w:tcPr>
            <w:tcW w:type="dxa" w:w="1984"/>
            <w:shd w:val="clear" w:color="auto" w:fill="FFFFFF"/>
          </w:tcPr>
          <w:p>
            <w:r>
              <w:rPr>
                <w:rFonts w:ascii="游明朝" w:hAnsi="游明朝" w:eastAsia="游明朝"/>
                <w:sz w:val="19"/>
              </w:rPr>
              <w:t>取組内容により</w:t>
              <w:br/>
              <w:t>異なる</w:t>
            </w:r>
          </w:p>
        </w:tc>
        <w:tc>
          <w:tcPr>
            <w:tcW w:type="dxa" w:w="2268"/>
            <w:shd w:val="clear" w:color="auto" w:fill="FFFFFF"/>
          </w:tcPr>
          <w:p>
            <w:r>
              <w:rPr>
                <w:rFonts w:ascii="游明朝" w:hAnsi="游明朝" w:eastAsia="游明朝"/>
                <w:sz w:val="19"/>
              </w:rPr>
              <w:t>令和7年度に対象業種拡充</w:t>
            </w:r>
          </w:p>
        </w:tc>
      </w:tr>
      <w:tr>
        <w:tc>
          <w:tcPr>
            <w:tcW w:type="dxa" w:w="1984"/>
            <w:shd w:val="clear" w:color="auto" w:fill="EBF3FB"/>
          </w:tcPr>
          <w:p>
            <w:r>
              <w:rPr>
                <w:rFonts w:ascii="游明朝" w:hAnsi="游明朝" w:eastAsia="游明朝"/>
                <w:sz w:val="19"/>
              </w:rPr>
              <w:t>④団体推進</w:t>
            </w:r>
          </w:p>
        </w:tc>
        <w:tc>
          <w:tcPr>
            <w:tcW w:type="dxa" w:w="2268"/>
            <w:shd w:val="clear" w:color="auto" w:fill="EBF3FB"/>
          </w:tcPr>
          <w:p>
            <w:r>
              <w:rPr>
                <w:rFonts w:ascii="游明朝" w:hAnsi="游明朝" w:eastAsia="游明朝"/>
                <w:sz w:val="19"/>
              </w:rPr>
              <w:t>事業主団体</w:t>
              <w:br/>
              <w:t>（10社以上）</w:t>
            </w:r>
          </w:p>
        </w:tc>
        <w:tc>
          <w:tcPr>
            <w:tcW w:type="dxa" w:w="1134"/>
            <w:shd w:val="clear" w:color="auto" w:fill="EBF3FB"/>
          </w:tcPr>
          <w:p>
            <w:r>
              <w:rPr>
                <w:rFonts w:ascii="游明朝" w:hAnsi="游明朝" w:eastAsia="游明朝"/>
                <w:sz w:val="19"/>
              </w:rPr>
              <w:t>10/10</w:t>
              <w:br/>
              <w:t>（全額）</w:t>
            </w:r>
          </w:p>
        </w:tc>
        <w:tc>
          <w:tcPr>
            <w:tcW w:type="dxa" w:w="1984"/>
            <w:shd w:val="clear" w:color="auto" w:fill="EBF3FB"/>
          </w:tcPr>
          <w:p>
            <w:r>
              <w:rPr>
                <w:rFonts w:ascii="游明朝" w:hAnsi="游明朝" w:eastAsia="游明朝"/>
                <w:sz w:val="19"/>
              </w:rPr>
              <w:t>500万円</w:t>
              <w:br/>
              <w:t>～1,000万円</w:t>
            </w:r>
          </w:p>
        </w:tc>
        <w:tc>
          <w:tcPr>
            <w:tcW w:type="dxa" w:w="2268"/>
            <w:shd w:val="clear" w:color="auto" w:fill="EBF3FB"/>
          </w:tcPr>
          <w:p>
            <w:r>
              <w:rPr>
                <w:rFonts w:ascii="游明朝" w:hAnsi="游明朝" w:eastAsia="游明朝"/>
                <w:sz w:val="19"/>
              </w:rPr>
              <w:t>助成率100%が最大の強み</w:t>
            </w:r>
          </w:p>
        </w:tc>
      </w:tr>
      <w:tr>
        <w:tc>
          <w:tcPr>
            <w:tcW w:type="dxa" w:w="1984"/>
            <w:shd w:val="clear" w:color="auto" w:fill="FFFFFF"/>
          </w:tcPr>
          <w:p>
            <w:r>
              <w:rPr>
                <w:rFonts w:ascii="游明朝" w:hAnsi="游明朝" w:eastAsia="游明朝"/>
                <w:sz w:val="19"/>
              </w:rPr>
              <w:t>⑤取引環境改善</w:t>
            </w:r>
          </w:p>
        </w:tc>
        <w:tc>
          <w:tcPr>
            <w:tcW w:type="dxa" w:w="2268"/>
            <w:shd w:val="clear" w:color="auto" w:fill="FFFFFF"/>
          </w:tcPr>
          <w:p>
            <w:r>
              <w:rPr>
                <w:rFonts w:ascii="游明朝" w:hAnsi="游明朝" w:eastAsia="游明朝"/>
                <w:sz w:val="19"/>
              </w:rPr>
              <w:t>荷主・倉庫・</w:t>
              <w:br/>
              <w:t>運送の集団</w:t>
            </w:r>
          </w:p>
        </w:tc>
        <w:tc>
          <w:tcPr>
            <w:tcW w:type="dxa" w:w="1134"/>
            <w:shd w:val="clear" w:color="auto" w:fill="FFFFFF"/>
          </w:tcPr>
          <w:p>
            <w:r>
              <w:rPr>
                <w:rFonts w:ascii="游明朝" w:hAnsi="游明朝" w:eastAsia="游明朝"/>
                <w:sz w:val="19"/>
              </w:rPr>
              <w:t>3/4</w:t>
            </w:r>
          </w:p>
        </w:tc>
        <w:tc>
          <w:tcPr>
            <w:tcW w:type="dxa" w:w="1984"/>
            <w:shd w:val="clear" w:color="auto" w:fill="FFFFFF"/>
          </w:tcPr>
          <w:p>
            <w:r>
              <w:rPr>
                <w:rFonts w:ascii="游明朝" w:hAnsi="游明朝" w:eastAsia="游明朝"/>
                <w:sz w:val="19"/>
              </w:rPr>
              <w:t>取組内容により</w:t>
              <w:br/>
              <w:t>異なる</w:t>
            </w:r>
          </w:p>
        </w:tc>
        <w:tc>
          <w:tcPr>
            <w:tcW w:type="dxa" w:w="2268"/>
            <w:shd w:val="clear" w:color="auto" w:fill="FFFFFF"/>
          </w:tcPr>
          <w:p>
            <w:r>
              <w:rPr>
                <w:rFonts w:ascii="游明朝" w:hAnsi="游明朝" w:eastAsia="游明朝"/>
                <w:sz w:val="19"/>
              </w:rPr>
              <w:t>運送業の2024年上限規制対応</w:t>
            </w:r>
          </w:p>
        </w:tc>
      </w:tr>
      <w:tr>
        <w:tc>
          <w:tcPr>
            <w:tcW w:type="dxa" w:w="1928"/>
          </w:tcPr>
          <w:p/>
        </w:tc>
        <w:tc>
          <w:tcPr>
            <w:tcW w:type="dxa" w:w="1928"/>
          </w:tcPr>
          <w:p/>
        </w:tc>
        <w:tc>
          <w:tcPr>
            <w:tcW w:type="dxa" w:w="1928"/>
          </w:tcPr>
          <w:p/>
        </w:tc>
        <w:tc>
          <w:tcPr>
            <w:tcW w:type="dxa" w:w="1928"/>
          </w:tcPr>
          <w:p/>
        </w:tc>
        <w:tc>
          <w:tcPr>
            <w:tcW w:type="dxa" w:w="1928"/>
          </w:tcPr>
          <w:p/>
        </w:tc>
      </w:tr>
    </w:tbl>
    <w:p/>
    <w:p>
      <w:pPr>
        <w:ind w:left="283"/>
      </w:pPr>
      <w:r>
        <w:rPr>
          <w:rFonts w:ascii="游明朝" w:hAnsi="游明朝" w:eastAsia="游明朝"/>
          <w:color w:val="606060"/>
          <w:sz w:val="18"/>
        </w:rPr>
        <w:t>※ 本資料は厚生労働省公表情報（令和7年度）をもとに作成しています。</w:t>
        <w:br/>
        <w:t xml:space="preserve">　 助成額・要件等は変更される場合があります。申請前に必ず最新の公募要領・申請マニュアルをご確認ください。</w:t>
        <w:br/>
        <w:t xml:space="preserve">　 申請・相談窓口：各都道府県労働局 雇用環境・均等部（室）または働き方改革推進支援センター</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