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2E74B5"/>
          <w:sz w:val="32"/>
        </w:rPr>
        <w:t>介護離職防止支援コース（両立支援等助成金）</w:t>
      </w:r>
    </w:p>
    <w:p>
      <w:pPr>
        <w:spacing w:after="240"/>
        <w:jc w:val="center"/>
      </w:pPr>
      <w:r>
        <w:rPr>
          <w:color w:val="707070"/>
          <w:sz w:val="22"/>
        </w:rPr>
        <w:t>概要・支給額・申請のポイント</w:t>
      </w:r>
    </w:p>
    <w:p>
      <w:pPr>
        <w:spacing w:before="240" w:after="80"/>
        <w:jc w:val="left"/>
        <w:shd w:val="clear" w:color="auto" w:fill="2E74B5"/>
      </w:pPr>
      <w:r>
        <w:rPr>
          <w:b/>
          <w:color w:val="FFFFFF"/>
          <w:sz w:val="28"/>
        </w:rPr>
        <w:t>１．概要</w:t>
      </w:r>
    </w:p>
    <w:p>
      <w:pPr>
        <w:spacing w:before="200" w:after="40"/>
        <w:pBdr>
          <w:bottom w:val="single" w:sz="4" w:space="1" w:color="2E74B5"/>
        </w:pBdr>
      </w:pPr>
      <w:r>
        <w:rPr>
          <w:b/>
          <w:color w:val="2E74B5"/>
          <w:sz w:val="24"/>
        </w:rPr>
        <w:t>目的・対象</w:t>
      </w:r>
    </w:p>
    <w:p>
      <w:pPr>
        <w:pStyle w:val="ListBullet"/>
        <w:spacing w:after="40"/>
      </w:pPr>
      <w:r>
        <w:rPr>
          <w:sz w:val="21"/>
        </w:rPr>
        <w:t>仕事と介護の両立を支援し、介護を理由とした離職を防止するため、取組を実施した中小企業事業主に助成金を支給する</w:t>
      </w:r>
    </w:p>
    <w:p>
      <w:pPr>
        <w:pStyle w:val="ListBullet"/>
        <w:spacing w:after="40"/>
      </w:pPr>
      <w:r>
        <w:rPr>
          <w:sz w:val="21"/>
        </w:rPr>
        <w:t>対象：中小企業事業主（資本金額または常時雇用労働者数で判定）</w:t>
      </w:r>
    </w:p>
    <w:p>
      <w:pPr>
        <w:pStyle w:val="ListBullet"/>
        <w:spacing w:after="40"/>
      </w:pPr>
      <w:r>
        <w:rPr>
          <w:sz w:val="21"/>
        </w:rPr>
        <w:t>適用単位：事業所単位ではなく事業主（法人・個人）単位で支給</w:t>
      </w:r>
    </w:p>
    <w:p>
      <w:pPr>
        <w:pStyle w:val="ListBullet"/>
        <w:spacing w:after="40"/>
      </w:pPr>
      <w:r>
        <w:rPr>
          <w:sz w:val="21"/>
        </w:rPr>
        <w:t>根拠法令：雇用保険法第62条第1項第6号・雇保則第115条・116条</w:t>
      </w:r>
    </w:p>
    <w:p>
      <w:pPr>
        <w:spacing w:before="200" w:after="40"/>
        <w:pBdr>
          <w:bottom w:val="single" w:sz="4" w:space="1" w:color="2E74B5"/>
        </w:pBdr>
      </w:pPr>
      <w:r>
        <w:rPr>
          <w:b/>
          <w:color w:val="2E74B5"/>
          <w:sz w:val="24"/>
        </w:rPr>
        <w:t>助成金の種類（6種）</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b/>
                <w:color w:val="FFFFFF"/>
                <w:sz w:val="21"/>
              </w:rPr>
              <w:t>種別</w:t>
            </w:r>
          </w:p>
        </w:tc>
        <w:tc>
          <w:tcPr>
            <w:tcW w:type="dxa" w:w="4703"/>
            <w:shd w:val="clear" w:color="auto" w:fill="2E74B5"/>
          </w:tcPr>
          <w:p>
            <w:r>
              <w:rPr>
                <w:b/>
                <w:color w:val="FFFFFF"/>
                <w:sz w:val="21"/>
              </w:rPr>
              <w:t>概要</w:t>
            </w:r>
          </w:p>
        </w:tc>
      </w:tr>
      <w:tr>
        <w:tc>
          <w:tcPr>
            <w:tcW w:type="dxa" w:w="4703"/>
            <w:shd w:val="clear" w:color="auto" w:fill="DEEAF1"/>
          </w:tcPr>
          <w:p>
            <w:r>
              <w:rPr>
                <w:sz w:val="21"/>
              </w:rPr>
              <w:t>① 介護休業</w:t>
            </w:r>
          </w:p>
        </w:tc>
        <w:tc>
          <w:tcPr>
            <w:tcW w:type="dxa" w:w="4703"/>
            <w:shd w:val="clear" w:color="auto" w:fill="DEEAF1"/>
          </w:tcPr>
          <w:p>
            <w:r>
              <w:rPr>
                <w:sz w:val="21"/>
              </w:rPr>
              <w:t>両立支援プランに基づき介護休業を取得し、職場復帰した場合</w:t>
            </w:r>
          </w:p>
        </w:tc>
      </w:tr>
      <w:tr>
        <w:tc>
          <w:tcPr>
            <w:tcW w:type="dxa" w:w="4703"/>
          </w:tcPr>
          <w:p>
            <w:r>
              <w:rPr>
                <w:sz w:val="21"/>
              </w:rPr>
              <w:t>② 介護両立支援制度</w:t>
            </w:r>
          </w:p>
        </w:tc>
        <w:tc>
          <w:tcPr>
            <w:tcW w:type="dxa" w:w="4703"/>
          </w:tcPr>
          <w:p>
            <w:r>
              <w:rPr>
                <w:sz w:val="21"/>
              </w:rPr>
              <w:t>時差出勤・短時間勤務・在宅勤務・フレックス・介護サービス費用補助などを利用させた場合</w:t>
            </w:r>
          </w:p>
        </w:tc>
      </w:tr>
      <w:tr>
        <w:tc>
          <w:tcPr>
            <w:tcW w:type="dxa" w:w="4703"/>
            <w:shd w:val="clear" w:color="auto" w:fill="DEEAF1"/>
          </w:tcPr>
          <w:p>
            <w:r>
              <w:rPr>
                <w:sz w:val="21"/>
              </w:rPr>
              <w:t>③ 業務代替支援</w:t>
            </w:r>
          </w:p>
        </w:tc>
        <w:tc>
          <w:tcPr>
            <w:tcW w:type="dxa" w:w="4703"/>
            <w:shd w:val="clear" w:color="auto" w:fill="DEEAF1"/>
          </w:tcPr>
          <w:p>
            <w:r>
              <w:rPr>
                <w:sz w:val="21"/>
              </w:rPr>
              <w:t>休業・短時間勤務中に代替要員を新規雇用、または手当を支給した場合</w:t>
            </w:r>
          </w:p>
        </w:tc>
      </w:tr>
      <w:tr>
        <w:tc>
          <w:tcPr>
            <w:tcW w:type="dxa" w:w="4703"/>
          </w:tcPr>
          <w:p>
            <w:r>
              <w:rPr>
                <w:sz w:val="21"/>
              </w:rPr>
              <w:t>④ 介護休暇制度有給化支援</w:t>
            </w:r>
          </w:p>
        </w:tc>
        <w:tc>
          <w:tcPr>
            <w:tcW w:type="dxa" w:w="4703"/>
          </w:tcPr>
          <w:p>
            <w:r>
              <w:rPr>
                <w:sz w:val="21"/>
              </w:rPr>
              <w:t>有給の介護休暇制度を新たに導入し利用させた場合</w:t>
            </w:r>
          </w:p>
        </w:tc>
      </w:tr>
      <w:tr>
        <w:tc>
          <w:tcPr>
            <w:tcW w:type="dxa" w:w="4703"/>
            <w:shd w:val="clear" w:color="auto" w:fill="DEEAF1"/>
          </w:tcPr>
          <w:p>
            <w:r>
              <w:rPr>
                <w:sz w:val="21"/>
              </w:rPr>
              <w:t>⑤ 有期雇用労働者加算</w:t>
            </w:r>
          </w:p>
        </w:tc>
        <w:tc>
          <w:tcPr>
            <w:tcW w:type="dxa" w:w="4703"/>
            <w:shd w:val="clear" w:color="auto" w:fill="DEEAF1"/>
          </w:tcPr>
          <w:p>
            <w:r>
              <w:rPr>
                <w:sz w:val="21"/>
              </w:rPr>
              <w:t>①または②の対象者が有期雇用労働者だった場合（加算）</w:t>
            </w:r>
          </w:p>
        </w:tc>
      </w:tr>
      <w:tr>
        <w:tc>
          <w:tcPr>
            <w:tcW w:type="dxa" w:w="4703"/>
          </w:tcPr>
          <w:p>
            <w:r>
              <w:rPr>
                <w:sz w:val="21"/>
              </w:rPr>
              <w:t>⑥ 環境整備加算</w:t>
            </w:r>
          </w:p>
        </w:tc>
        <w:tc>
          <w:tcPr>
            <w:tcW w:type="dxa" w:w="4703"/>
          </w:tcPr>
          <w:p>
            <w:r>
              <w:rPr>
                <w:sz w:val="21"/>
              </w:rPr>
              <w:t>研修・相談体制・事例提供・方針周知の4つを全て実施した場合（加算）</w:t>
            </w:r>
          </w:p>
        </w:tc>
      </w:tr>
    </w:tbl>
    <w:p/>
    <w:p>
      <w:pPr>
        <w:spacing w:before="240" w:after="80"/>
        <w:jc w:val="left"/>
        <w:shd w:val="clear" w:color="auto" w:fill="2E74B5"/>
      </w:pPr>
      <w:r>
        <w:rPr>
          <w:b/>
          <w:color w:val="FFFFFF"/>
          <w:sz w:val="28"/>
        </w:rPr>
        <w:t>２．支給額</w:t>
      </w:r>
    </w:p>
    <w:p>
      <w:pPr>
        <w:spacing w:before="200" w:after="40"/>
        <w:pBdr>
          <w:bottom w:val="single" w:sz="4" w:space="1" w:color="2E74B5"/>
        </w:pBdr>
      </w:pPr>
      <w:r>
        <w:rPr>
          <w:b/>
          <w:color w:val="2E74B5"/>
          <w:sz w:val="24"/>
        </w:rPr>
        <w:t>① 介護休業</w:t>
      </w:r>
    </w:p>
    <w:p>
      <w:pPr>
        <w:pStyle w:val="ListBullet"/>
        <w:spacing w:after="40"/>
      </w:pPr>
      <w:r>
        <w:rPr>
          <w:sz w:val="21"/>
        </w:rPr>
        <w:t>連続5日以上14日以下の休業：40万円</w:t>
      </w:r>
    </w:p>
    <w:p>
      <w:pPr>
        <w:pStyle w:val="ListBullet"/>
        <w:spacing w:after="40"/>
      </w:pPr>
      <w:r>
        <w:rPr>
          <w:sz w:val="21"/>
        </w:rPr>
        <w:t>連続15日以上の休業：60万円</w:t>
      </w:r>
    </w:p>
    <w:p>
      <w:pPr>
        <w:pStyle w:val="ListBullet"/>
        <w:spacing w:after="40"/>
      </w:pPr>
      <w:r>
        <w:rPr>
          <w:sz w:val="21"/>
        </w:rPr>
        <w:t>上限：1事業主あたり5人まで（同一労働者・同一対象家族につき1回限り）</w:t>
      </w:r>
    </w:p>
    <w:p>
      <w:pPr>
        <w:spacing w:before="200" w:after="40"/>
        <w:pBdr>
          <w:bottom w:val="single" w:sz="4" w:space="1" w:color="2E74B5"/>
        </w:pBdr>
      </w:pPr>
      <w:r>
        <w:rPr>
          <w:b/>
          <w:color w:val="2E74B5"/>
          <w:sz w:val="24"/>
        </w:rPr>
        <w:t>② 介護両立支援制度</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E74B5"/>
          </w:tcPr>
          <w:p>
            <w:r>
              <w:rPr>
                <w:b/>
                <w:color w:val="FFFFFF"/>
                <w:sz w:val="21"/>
              </w:rPr>
              <w:t>導入制度数</w:t>
            </w:r>
          </w:p>
        </w:tc>
        <w:tc>
          <w:tcPr>
            <w:tcW w:type="dxa" w:w="3135"/>
            <w:shd w:val="clear" w:color="auto" w:fill="2E74B5"/>
          </w:tcPr>
          <w:p>
            <w:r>
              <w:rPr>
                <w:b/>
                <w:color w:val="FFFFFF"/>
                <w:sz w:val="21"/>
              </w:rPr>
              <w:t>利用日数20日以上</w:t>
            </w:r>
          </w:p>
        </w:tc>
        <w:tc>
          <w:tcPr>
            <w:tcW w:type="dxa" w:w="3135"/>
            <w:shd w:val="clear" w:color="auto" w:fill="2E74B5"/>
          </w:tcPr>
          <w:p>
            <w:r>
              <w:rPr>
                <w:b/>
                <w:color w:val="FFFFFF"/>
                <w:sz w:val="21"/>
              </w:rPr>
              <w:t>利用日数60日以上</w:t>
            </w:r>
          </w:p>
        </w:tc>
      </w:tr>
      <w:tr>
        <w:tc>
          <w:tcPr>
            <w:tcW w:type="dxa" w:w="3135"/>
            <w:shd w:val="clear" w:color="auto" w:fill="DEEAF1"/>
          </w:tcPr>
          <w:p>
            <w:r>
              <w:rPr>
                <w:sz w:val="21"/>
              </w:rPr>
              <w:t>1つ導入・1つ利用</w:t>
            </w:r>
          </w:p>
        </w:tc>
        <w:tc>
          <w:tcPr>
            <w:tcW w:type="dxa" w:w="3135"/>
            <w:shd w:val="clear" w:color="auto" w:fill="DEEAF1"/>
          </w:tcPr>
          <w:p>
            <w:r>
              <w:rPr>
                <w:sz w:val="21"/>
              </w:rPr>
              <w:t>20万円</w:t>
            </w:r>
          </w:p>
        </w:tc>
        <w:tc>
          <w:tcPr>
            <w:tcW w:type="dxa" w:w="3135"/>
            <w:shd w:val="clear" w:color="auto" w:fill="DEEAF1"/>
          </w:tcPr>
          <w:p>
            <w:r>
              <w:rPr>
                <w:sz w:val="21"/>
              </w:rPr>
              <w:t>30万円</w:t>
            </w:r>
          </w:p>
        </w:tc>
      </w:tr>
      <w:tr>
        <w:tc>
          <w:tcPr>
            <w:tcW w:type="dxa" w:w="3135"/>
          </w:tcPr>
          <w:p>
            <w:r>
              <w:rPr>
                <w:sz w:val="21"/>
              </w:rPr>
              <w:t>2つ以上導入・1つ利用</w:t>
            </w:r>
          </w:p>
        </w:tc>
        <w:tc>
          <w:tcPr>
            <w:tcW w:type="dxa" w:w="3135"/>
          </w:tcPr>
          <w:p>
            <w:r>
              <w:rPr>
                <w:sz w:val="21"/>
              </w:rPr>
              <w:t>25万円</w:t>
            </w:r>
          </w:p>
        </w:tc>
        <w:tc>
          <w:tcPr>
            <w:tcW w:type="dxa" w:w="3135"/>
          </w:tcPr>
          <w:p>
            <w:r>
              <w:rPr>
                <w:sz w:val="21"/>
              </w:rPr>
              <w:t>40万円</w:t>
            </w:r>
          </w:p>
        </w:tc>
      </w:tr>
    </w:tbl>
    <w:p>
      <w:pPr>
        <w:spacing w:after="40"/>
      </w:pPr>
    </w:p>
    <w:p>
      <w:pPr>
        <w:pStyle w:val="ListBullet"/>
        <w:spacing w:after="40"/>
      </w:pPr>
      <w:r>
        <w:rPr>
          <w:sz w:val="21"/>
        </w:rPr>
        <w:t>上限：1事業主あたり5人まで（同一制度・同一対象家族につき1回限り、同一労働者は最大2回）</w:t>
      </w:r>
    </w:p>
    <w:p>
      <w:pPr>
        <w:spacing w:before="200" w:after="40"/>
        <w:pBdr>
          <w:bottom w:val="single" w:sz="4" w:space="1" w:color="2E74B5"/>
        </w:pBdr>
      </w:pPr>
      <w:r>
        <w:rPr>
          <w:b/>
          <w:color w:val="2E74B5"/>
          <w:sz w:val="24"/>
        </w:rPr>
        <w:t>③ 業務代替支援</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E74B5"/>
          </w:tcPr>
          <w:p>
            <w:r>
              <w:rPr>
                <w:b/>
                <w:color w:val="FFFFFF"/>
                <w:sz w:val="21"/>
              </w:rPr>
              <w:t>区分</w:t>
            </w:r>
          </w:p>
        </w:tc>
        <w:tc>
          <w:tcPr>
            <w:tcW w:type="dxa" w:w="3135"/>
            <w:shd w:val="clear" w:color="auto" w:fill="2E74B5"/>
          </w:tcPr>
          <w:p>
            <w:r>
              <w:rPr>
                <w:b/>
                <w:color w:val="FFFFFF"/>
                <w:sz w:val="21"/>
              </w:rPr>
              <w:t>休業15日未満</w:t>
            </w:r>
          </w:p>
        </w:tc>
        <w:tc>
          <w:tcPr>
            <w:tcW w:type="dxa" w:w="3135"/>
            <w:shd w:val="clear" w:color="auto" w:fill="2E74B5"/>
          </w:tcPr>
          <w:p>
            <w:r>
              <w:rPr>
                <w:b/>
                <w:color w:val="FFFFFF"/>
                <w:sz w:val="21"/>
              </w:rPr>
              <w:t>休業15日以上</w:t>
            </w:r>
          </w:p>
        </w:tc>
      </w:tr>
      <w:tr>
        <w:tc>
          <w:tcPr>
            <w:tcW w:type="dxa" w:w="3135"/>
            <w:shd w:val="clear" w:color="auto" w:fill="DEEAF1"/>
          </w:tcPr>
          <w:p>
            <w:r>
              <w:rPr>
                <w:sz w:val="21"/>
              </w:rPr>
              <w:t>新規雇用</w:t>
            </w:r>
          </w:p>
        </w:tc>
        <w:tc>
          <w:tcPr>
            <w:tcW w:type="dxa" w:w="3135"/>
            <w:shd w:val="clear" w:color="auto" w:fill="DEEAF1"/>
          </w:tcPr>
          <w:p>
            <w:r>
              <w:rPr>
                <w:sz w:val="21"/>
              </w:rPr>
              <w:t>20万円</w:t>
            </w:r>
          </w:p>
        </w:tc>
        <w:tc>
          <w:tcPr>
            <w:tcW w:type="dxa" w:w="3135"/>
            <w:shd w:val="clear" w:color="auto" w:fill="DEEAF1"/>
          </w:tcPr>
          <w:p>
            <w:r>
              <w:rPr>
                <w:sz w:val="21"/>
              </w:rPr>
              <w:t>30万円</w:t>
            </w:r>
          </w:p>
        </w:tc>
      </w:tr>
      <w:tr>
        <w:tc>
          <w:tcPr>
            <w:tcW w:type="dxa" w:w="3135"/>
          </w:tcPr>
          <w:p>
            <w:r>
              <w:rPr>
                <w:sz w:val="21"/>
              </w:rPr>
              <w:t>手当支給等（介護休業）</w:t>
            </w:r>
          </w:p>
        </w:tc>
        <w:tc>
          <w:tcPr>
            <w:tcW w:type="dxa" w:w="3135"/>
          </w:tcPr>
          <w:p>
            <w:r>
              <w:rPr>
                <w:sz w:val="21"/>
              </w:rPr>
              <w:t>5万円</w:t>
            </w:r>
          </w:p>
        </w:tc>
        <w:tc>
          <w:tcPr>
            <w:tcW w:type="dxa" w:w="3135"/>
          </w:tcPr>
          <w:p>
            <w:r>
              <w:rPr>
                <w:sz w:val="21"/>
              </w:rPr>
              <w:t>10万円</w:t>
            </w:r>
          </w:p>
        </w:tc>
      </w:tr>
      <w:tr>
        <w:tc>
          <w:tcPr>
            <w:tcW w:type="dxa" w:w="3135"/>
            <w:shd w:val="clear" w:color="auto" w:fill="DEEAF1"/>
          </w:tcPr>
          <w:p>
            <w:r>
              <w:rPr>
                <w:sz w:val="21"/>
              </w:rPr>
              <w:t>手当支給等（短時間勤務）</w:t>
            </w:r>
          </w:p>
        </w:tc>
        <w:tc>
          <w:tcPr>
            <w:tcW w:type="dxa" w:w="3135"/>
            <w:shd w:val="clear" w:color="auto" w:fill="DEEAF1"/>
          </w:tcPr>
          <w:p>
            <w:r>
              <w:rPr>
                <w:sz w:val="21"/>
              </w:rPr>
              <w:t>3万円</w:t>
            </w:r>
          </w:p>
        </w:tc>
        <w:tc>
          <w:tcPr>
            <w:tcW w:type="dxa" w:w="3135"/>
            <w:shd w:val="clear" w:color="auto" w:fill="DEEAF1"/>
          </w:tcPr>
          <w:p>
            <w:r>
              <w:rPr>
                <w:sz w:val="21"/>
              </w:rPr>
              <w:t>―</w:t>
            </w:r>
          </w:p>
        </w:tc>
      </w:tr>
    </w:tbl>
    <w:p>
      <w:pPr>
        <w:spacing w:after="40"/>
      </w:pPr>
    </w:p>
    <w:p>
      <w:pPr>
        <w:pStyle w:val="ListBullet"/>
        <w:spacing w:after="40"/>
      </w:pPr>
      <w:r>
        <w:rPr>
          <w:sz w:val="21"/>
        </w:rPr>
        <w:t>上限：1事業主あたり5人まで</w:t>
      </w:r>
    </w:p>
    <w:p>
      <w:pPr>
        <w:spacing w:before="200" w:after="40"/>
        <w:pBdr>
          <w:bottom w:val="single" w:sz="4" w:space="1" w:color="2E74B5"/>
        </w:pBdr>
      </w:pPr>
      <w:r>
        <w:rPr>
          <w:b/>
          <w:color w:val="2E74B5"/>
          <w:sz w:val="24"/>
        </w:rPr>
        <w:t>④ 介護休暇制度有給化支援</w:t>
      </w:r>
    </w:p>
    <w:p>
      <w:pPr>
        <w:pStyle w:val="ListBullet"/>
        <w:spacing w:after="40"/>
      </w:pPr>
      <w:r>
        <w:rPr>
          <w:sz w:val="21"/>
        </w:rPr>
        <w:t>時間単位取得可の有給介護休暇制度を導入：30万円（1事業主1回限り）</w:t>
      </w:r>
    </w:p>
    <w:p>
      <w:pPr>
        <w:pStyle w:val="ListBullet"/>
        <w:spacing w:after="40"/>
      </w:pPr>
      <w:r>
        <w:rPr>
          <w:sz w:val="21"/>
        </w:rPr>
        <w:t>10日以上の有給休暇とする場合：50万円（1事業主1回限り）</w:t>
      </w:r>
    </w:p>
    <w:p>
      <w:pPr>
        <w:spacing w:before="200" w:after="40"/>
        <w:pBdr>
          <w:bottom w:val="single" w:sz="4" w:space="1" w:color="2E74B5"/>
        </w:pBdr>
      </w:pPr>
      <w:r>
        <w:rPr>
          <w:b/>
          <w:color w:val="2E74B5"/>
          <w:sz w:val="24"/>
        </w:rPr>
        <w:t>⑤ 有期雇用労働者加算</w:t>
      </w:r>
    </w:p>
    <w:p>
      <w:pPr>
        <w:pStyle w:val="ListBullet"/>
        <w:spacing w:after="40"/>
      </w:pPr>
      <w:r>
        <w:rPr>
          <w:sz w:val="21"/>
        </w:rPr>
        <w:t>①または②に加算：10万円（1事業主いずれか1回限り）</w:t>
      </w:r>
    </w:p>
    <w:p>
      <w:pPr>
        <w:spacing w:before="200" w:after="40"/>
        <w:pBdr>
          <w:bottom w:val="single" w:sz="4" w:space="1" w:color="2E74B5"/>
        </w:pBdr>
      </w:pPr>
      <w:r>
        <w:rPr>
          <w:b/>
          <w:color w:val="2E74B5"/>
          <w:sz w:val="24"/>
        </w:rPr>
        <w:t>⑥ 環境整備加算</w:t>
      </w:r>
    </w:p>
    <w:p>
      <w:pPr>
        <w:pStyle w:val="ListBullet"/>
        <w:spacing w:after="40"/>
      </w:pPr>
      <w:r>
        <w:rPr>
          <w:sz w:val="21"/>
        </w:rPr>
        <w:t>①〜③に加算：10万円（1事業主1回限り）</w:t>
      </w:r>
    </w:p>
    <w:p>
      <w:pPr>
        <w:spacing w:before="240" w:after="80"/>
        <w:jc w:val="left"/>
        <w:shd w:val="clear" w:color="auto" w:fill="2E74B5"/>
      </w:pPr>
      <w:r>
        <w:rPr>
          <w:b/>
          <w:color w:val="FFFFFF"/>
          <w:sz w:val="28"/>
        </w:rPr>
        <w:t>３．申請のポイント</w:t>
      </w:r>
    </w:p>
    <w:p>
      <w:pPr>
        <w:spacing w:before="200" w:after="40"/>
        <w:pBdr>
          <w:bottom w:val="single" w:sz="4" w:space="1" w:color="2E74B5"/>
        </w:pBdr>
      </w:pPr>
      <w:r>
        <w:rPr>
          <w:b/>
          <w:color w:val="2E74B5"/>
          <w:sz w:val="24"/>
        </w:rPr>
        <w:t>申請先・提出期限</w:t>
      </w:r>
    </w:p>
    <w:tbl>
      <w:tblPr>
        <w:tblStyle w:val="TableGrid"/>
        <w:tblW w:type="auto" w:w="0"/>
        <w:tblLook w:firstColumn="1" w:firstRow="1" w:lastColumn="0" w:lastRow="0" w:noHBand="0" w:noVBand="1" w:val="04A0"/>
      </w:tblPr>
      <w:tblGrid>
        <w:gridCol w:w="4703"/>
        <w:gridCol w:w="4703"/>
      </w:tblGrid>
      <w:tr>
        <w:tc>
          <w:tcPr>
            <w:tcW w:type="dxa" w:w="4703"/>
            <w:shd w:val="clear" w:color="auto" w:fill="2E74B5"/>
          </w:tcPr>
          <w:p>
            <w:r>
              <w:rPr>
                <w:b/>
                <w:color w:val="FFFFFF"/>
                <w:sz w:val="21"/>
              </w:rPr>
              <w:t>種別</w:t>
            </w:r>
          </w:p>
        </w:tc>
        <w:tc>
          <w:tcPr>
            <w:tcW w:type="dxa" w:w="4703"/>
            <w:shd w:val="clear" w:color="auto" w:fill="2E74B5"/>
          </w:tcPr>
          <w:p>
            <w:r>
              <w:rPr>
                <w:b/>
                <w:color w:val="FFFFFF"/>
                <w:sz w:val="21"/>
              </w:rPr>
              <w:t>申請期限</w:t>
            </w:r>
          </w:p>
        </w:tc>
      </w:tr>
      <w:tr>
        <w:tc>
          <w:tcPr>
            <w:tcW w:type="dxa" w:w="4703"/>
            <w:shd w:val="clear" w:color="auto" w:fill="DEEAF1"/>
          </w:tcPr>
          <w:p>
            <w:r>
              <w:rPr>
                <w:sz w:val="21"/>
              </w:rPr>
              <w:t>申請先</w:t>
            </w:r>
          </w:p>
        </w:tc>
        <w:tc>
          <w:tcPr>
            <w:tcW w:type="dxa" w:w="4703"/>
            <w:shd w:val="clear" w:color="auto" w:fill="DEEAF1"/>
          </w:tcPr>
          <w:p>
            <w:r>
              <w:rPr>
                <w:sz w:val="21"/>
              </w:rPr>
              <w:t>本社等の所在地を管轄する都道府県労働局長</w:t>
            </w:r>
          </w:p>
        </w:tc>
      </w:tr>
      <w:tr>
        <w:tc>
          <w:tcPr>
            <w:tcW w:type="dxa" w:w="4703"/>
          </w:tcPr>
          <w:p>
            <w:r>
              <w:rPr>
                <w:sz w:val="21"/>
              </w:rPr>
              <w:t>① 介護休業</w:t>
            </w:r>
          </w:p>
        </w:tc>
        <w:tc>
          <w:tcPr>
            <w:tcW w:type="dxa" w:w="4703"/>
          </w:tcPr>
          <w:p>
            <w:r>
              <w:rPr>
                <w:sz w:val="21"/>
              </w:rPr>
              <w:t>休業終了日の翌日から3か月経過後の翌日から2か月以内</w:t>
            </w:r>
          </w:p>
        </w:tc>
      </w:tr>
      <w:tr>
        <w:tc>
          <w:tcPr>
            <w:tcW w:type="dxa" w:w="4703"/>
            <w:shd w:val="clear" w:color="auto" w:fill="DEEAF1"/>
          </w:tcPr>
          <w:p>
            <w:r>
              <w:rPr>
                <w:sz w:val="21"/>
              </w:rPr>
              <w:t>② 介護両立支援制度</w:t>
            </w:r>
          </w:p>
        </w:tc>
        <w:tc>
          <w:tcPr>
            <w:tcW w:type="dxa" w:w="4703"/>
            <w:shd w:val="clear" w:color="auto" w:fill="DEEAF1"/>
          </w:tcPr>
          <w:p>
            <w:r>
              <w:rPr>
                <w:sz w:val="21"/>
              </w:rPr>
              <w:t>利用実績20日/60日到達後1か月経過の翌日から2か月以内</w:t>
            </w:r>
          </w:p>
        </w:tc>
      </w:tr>
      <w:tr>
        <w:tc>
          <w:tcPr>
            <w:tcW w:type="dxa" w:w="4703"/>
          </w:tcPr>
          <w:p>
            <w:r>
              <w:rPr>
                <w:sz w:val="21"/>
              </w:rPr>
              <w:t>③ 業務代替支援（新規雇用）</w:t>
            </w:r>
          </w:p>
        </w:tc>
        <w:tc>
          <w:tcPr>
            <w:tcW w:type="dxa" w:w="4703"/>
          </w:tcPr>
          <w:p>
            <w:r>
              <w:rPr>
                <w:sz w:val="21"/>
              </w:rPr>
              <w:t>休業終了日の翌日から2か月以内</w:t>
            </w:r>
          </w:p>
        </w:tc>
      </w:tr>
    </w:tbl>
    <w:p>
      <w:pPr>
        <w:spacing w:after="40"/>
      </w:pPr>
    </w:p>
    <w:p>
      <w:pPr>
        <w:spacing w:before="200" w:after="40"/>
        <w:pBdr>
          <w:bottom w:val="single" w:sz="4" w:space="1" w:color="2E74B5"/>
        </w:pBdr>
      </w:pPr>
      <w:r>
        <w:rPr>
          <w:b/>
          <w:color w:val="2E74B5"/>
          <w:sz w:val="24"/>
        </w:rPr>
        <w:t>申請前に必要な準備</w:t>
      </w:r>
    </w:p>
    <w:p>
      <w:pPr>
        <w:pStyle w:val="ListBullet"/>
        <w:spacing w:after="40"/>
      </w:pPr>
      <w:r>
        <w:rPr>
          <w:sz w:val="21"/>
        </w:rPr>
        <w:t>「仕事と介護の両立支援プラン（面談シート兼用）」の作成（休業・制度利用開始前が原則）</w:t>
      </w:r>
    </w:p>
    <w:p>
      <w:pPr>
        <w:pStyle w:val="ListBullet"/>
        <w:spacing w:after="40"/>
      </w:pPr>
      <w:r>
        <w:rPr>
          <w:sz w:val="21"/>
        </w:rPr>
        <w:t>上司または人事担当者とのプラン策定面談を1回以上実施・記録</w:t>
      </w:r>
    </w:p>
    <w:p>
      <w:pPr>
        <w:pStyle w:val="ListBullet"/>
        <w:spacing w:after="40"/>
      </w:pPr>
      <w:r>
        <w:rPr>
          <w:sz w:val="21"/>
        </w:rPr>
        <w:t>就業規則・労働協約に介護休業関係制度および原職等復帰の規定を整備</w:t>
      </w:r>
    </w:p>
    <w:p>
      <w:pPr>
        <w:pStyle w:val="ListBullet"/>
        <w:spacing w:after="40"/>
      </w:pPr>
      <w:r>
        <w:rPr>
          <w:sz w:val="21"/>
        </w:rPr>
        <w:t>休業終了後のフォロー面談の実施・記録（①介護休業の場合）</w:t>
      </w:r>
    </w:p>
    <w:p>
      <w:pPr>
        <w:pStyle w:val="ListBullet"/>
        <w:spacing w:after="40"/>
      </w:pPr>
      <w:r>
        <w:rPr>
          <w:sz w:val="21"/>
        </w:rPr>
        <w:t>環境整備加算を申請する場合は、研修・相談体制・事例提供・方針周知の4つすべてを実施</w:t>
      </w:r>
    </w:p>
    <w:p>
      <w:pPr>
        <w:spacing w:before="200" w:after="40"/>
        <w:pBdr>
          <w:bottom w:val="single" w:sz="4" w:space="1" w:color="2E74B5"/>
        </w:pBdr>
      </w:pPr>
      <w:r>
        <w:rPr>
          <w:b/>
          <w:color w:val="2E74B5"/>
          <w:sz w:val="24"/>
        </w:rPr>
        <w:t>主な必要書類（①介護休業の場合）</w:t>
      </w:r>
    </w:p>
    <w:p>
      <w:pPr>
        <w:pStyle w:val="ListBullet"/>
        <w:spacing w:after="40"/>
      </w:pPr>
      <w:r>
        <w:rPr>
          <w:sz w:val="21"/>
        </w:rPr>
        <w:t>就業規則・労働協約（介護休業制度・原職復帰規定の記載箇所）</w:t>
      </w:r>
    </w:p>
    <w:p>
      <w:pPr>
        <w:pStyle w:val="ListBullet"/>
        <w:spacing w:after="40"/>
      </w:pPr>
      <w:r>
        <w:rPr>
          <w:sz w:val="21"/>
        </w:rPr>
        <w:t>両立支援プランの方針周知が確認できる書類（通達・社内報等）</w:t>
      </w:r>
    </w:p>
    <w:p>
      <w:pPr>
        <w:pStyle w:val="ListBullet"/>
        <w:spacing w:after="40"/>
      </w:pPr>
      <w:r>
        <w:rPr>
          <w:sz w:val="21"/>
        </w:rPr>
        <w:t>「仕事と介護の両立支援プラン（面談シート兼用）」</w:t>
      </w:r>
    </w:p>
    <w:p>
      <w:pPr>
        <w:pStyle w:val="ListBullet"/>
        <w:spacing w:after="40"/>
      </w:pPr>
      <w:r>
        <w:rPr>
          <w:sz w:val="21"/>
        </w:rPr>
        <w:t>対象家族の要介護状態を証明する書類（介護保険被保険者証等）</w:t>
      </w:r>
    </w:p>
    <w:p>
      <w:pPr>
        <w:pStyle w:val="ListBullet"/>
        <w:spacing w:after="40"/>
      </w:pPr>
      <w:r>
        <w:rPr>
          <w:sz w:val="21"/>
        </w:rPr>
        <w:t>労働条件通知書・雇用契約書</w:t>
      </w:r>
    </w:p>
    <w:p>
      <w:pPr>
        <w:pStyle w:val="ListBullet"/>
        <w:spacing w:after="40"/>
      </w:pPr>
      <w:r>
        <w:rPr>
          <w:sz w:val="21"/>
        </w:rPr>
        <w:t>介護休業申出書（期間変更がある場合は変更申出書も）</w:t>
      </w:r>
    </w:p>
    <w:p>
      <w:pPr>
        <w:pStyle w:val="ListBullet"/>
        <w:spacing w:after="40"/>
      </w:pPr>
      <w:r>
        <w:rPr>
          <w:sz w:val="21"/>
        </w:rPr>
        <w:t>休業期間中の出勤簿・タイムカード・賃金台帳</w:t>
      </w:r>
    </w:p>
    <w:p>
      <w:pPr>
        <w:pStyle w:val="ListBullet"/>
        <w:spacing w:after="40"/>
      </w:pPr>
      <w:r>
        <w:rPr>
          <w:sz w:val="21"/>
        </w:rPr>
        <w:t>職場復帰後3か月分の出勤簿・賃金台帳</w:t>
      </w:r>
    </w:p>
    <w:p>
      <w:pPr>
        <w:spacing w:before="200" w:after="40"/>
        <w:pBdr>
          <w:bottom w:val="single" w:sz="4" w:space="1" w:color="2E74B5"/>
        </w:pBdr>
      </w:pPr>
      <w:r>
        <w:rPr>
          <w:b/>
          <w:color w:val="2E74B5"/>
          <w:sz w:val="24"/>
        </w:rPr>
        <w:t>その他の注意点</w:t>
      </w:r>
    </w:p>
    <w:p>
      <w:pPr>
        <w:pStyle w:val="ListBullet"/>
        <w:spacing w:after="40"/>
      </w:pPr>
      <w:r>
        <w:rPr>
          <w:sz w:val="21"/>
        </w:rPr>
        <w:t>書類省略制度あり：過去に申請済みで内容変更がない書類は確認書（様式第6号）提出で省略可（電子申請除く）</w:t>
      </w:r>
    </w:p>
    <w:p>
      <w:pPr>
        <w:pStyle w:val="ListBullet"/>
        <w:spacing w:after="40"/>
      </w:pPr>
      <w:r>
        <w:rPr>
          <w:sz w:val="21"/>
        </w:rPr>
        <w:t>支給申請日前1年以内に育児・介護休業法違反があると不支給</w:t>
      </w:r>
    </w:p>
    <w:p>
      <w:pPr>
        <w:pStyle w:val="ListBullet"/>
        <w:spacing w:after="40"/>
      </w:pPr>
      <w:r>
        <w:rPr>
          <w:sz w:val="21"/>
        </w:rPr>
        <w:t>雇用形態・給与形態の不合理な変更を行った場合は不支給</w:t>
      </w:r>
    </w:p>
    <w:p>
      <w:pPr>
        <w:pStyle w:val="ListBullet"/>
        <w:spacing w:after="40"/>
      </w:pPr>
      <w:r>
        <w:rPr>
          <w:sz w:val="21"/>
        </w:rPr>
        <w:t>職場復帰後3か月間で就業予定日数の5割未満しか就業しなかった場合は不支給</w:t>
      </w:r>
    </w:p>
    <w:p>
      <w:pPr>
        <w:pStyle w:val="ListBullet"/>
        <w:spacing w:after="40"/>
      </w:pPr>
      <w:r>
        <w:rPr>
          <w:sz w:val="21"/>
        </w:rPr>
        <w:t>同一事業主に対する支給は各種別ごとに上限あり（原則5人まで、加算は1回限り）</w:t>
      </w:r>
    </w:p>
    <w:p/>
    <w:p>
      <w:r>
        <w:rPr>
          <w:i/>
          <w:color w:val="707070"/>
          <w:sz w:val="18"/>
        </w:rPr>
        <w:t>※ 本資料は令和8年4月8日改正版の支給要領に基づき作成しています。最新情報は管轄労働局または厚生労働省ウェブサイトでご確認ください。</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