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shd w:val="clear" w:color="auto" w:fill="C0392B"/>
      </w:pPr>
      <w:r>
        <w:rPr>
          <w:rFonts w:ascii="MS Gothic" w:hAnsi="MS Gothic"/>
          <w:b/>
          <w:color w:val="FFFFFF"/>
          <w:sz w:val="30"/>
        </w:rPr>
        <w:t>キャリアアップ助成金（正社員化コース）の提案を</w:t>
        <w:br/>
        <w:t>やめませんか？</w:t>
      </w:r>
    </w:p>
    <w:p>
      <w:pPr>
        <w:spacing w:before="40" w:after="200"/>
        <w:jc w:val="center"/>
        <w:shd w:val="clear" w:color="auto" w:fill="FDEDEC"/>
      </w:pPr>
      <w:r>
        <w:rPr>
          <w:rFonts w:ascii="MS Gothic" w:hAnsi="MS Gothic"/>
          <w:b w:val="0"/>
          <w:color w:val="C0392B"/>
          <w:sz w:val="21"/>
        </w:rPr>
        <w:t>〜不正申請が後を絶たない今、社労士として見直すべきこと〜</w:t>
      </w:r>
    </w:p>
    <w:p>
      <w:pPr>
        <w:spacing w:after="100"/>
      </w:pPr>
      <w:r>
        <w:rPr>
          <w:rFonts w:ascii="MS Gothic" w:hAnsi="MS Gothic"/>
          <w:b w:val="0"/>
          <w:sz w:val="21"/>
        </w:rPr>
        <w:t>平素よりお世話になっております。</w:t>
      </w:r>
    </w:p>
    <w:p>
      <w:pPr>
        <w:spacing w:after="100"/>
      </w:pPr>
      <w:r>
        <w:rPr>
          <w:rFonts w:ascii="MS Gothic" w:hAnsi="MS Gothic"/>
          <w:b w:val="0"/>
          <w:sz w:val="21"/>
        </w:rPr>
        <w:t>今回は、少し踏み込んだテーマをお届けします。</w:t>
      </w:r>
    </w:p>
    <w:p>
      <w:pPr>
        <w:spacing w:after="100"/>
      </w:pPr>
      <w:r>
        <w:rPr>
          <w:rFonts w:ascii="MS Gothic" w:hAnsi="MS Gothic"/>
          <w:b w:val="0"/>
          <w:sz w:val="21"/>
        </w:rPr>
        <w:t>キャリアアップ助成金（正社員化コース）を、顧客に積極的に提案することを、いったん立ち止まって見直していただけないでしょうか。</w:t>
      </w:r>
    </w:p>
    <w:p>
      <w:pPr>
        <w:spacing w:after="40"/>
      </w:pPr>
    </w:p>
    <w:p>
      <w:pPr>
        <w:shd w:val="clear" w:color="auto" w:fill="C0392B"/>
        <w:spacing w:before="200" w:after="80"/>
      </w:pPr>
      <w:r>
        <w:rPr>
          <w:rFonts w:ascii="MS Gothic" w:hAnsi="MS Gothic"/>
          <w:b/>
          <w:color w:val="FFFFFF"/>
          <w:sz w:val="24"/>
        </w:rPr>
        <w:t>1. なぜ、この助成金の提案を見直すべきなのか</w:t>
      </w:r>
    </w:p>
    <w:p>
      <w:pPr>
        <w:spacing w:after="100"/>
      </w:pPr>
      <w:r>
        <w:rPr>
          <w:rFonts w:ascii="MS Gothic" w:hAnsi="MS Gothic"/>
          <w:b w:val="0"/>
          <w:sz w:val="21"/>
        </w:rPr>
        <w:t>この助成金は、有期雇用労働者等を正社員に転換した場合に支給される制度であり、活用実績も多く、社労士業務との親和性も高い制度です。</w:t>
      </w:r>
    </w:p>
    <w:p>
      <w:pPr>
        <w:spacing w:after="100"/>
      </w:pPr>
      <w:r>
        <w:rPr>
          <w:rFonts w:ascii="MS Gothic" w:hAnsi="MS Gothic"/>
          <w:b w:val="0"/>
          <w:sz w:val="21"/>
        </w:rPr>
        <w:t>しかしながら、現在、業界全体として直視しなければならない問題があります。</w:t>
      </w:r>
    </w:p>
    <w:p>
      <w:pPr>
        <w:spacing w:after="40"/>
      </w:pPr>
    </w:p>
    <w:p>
      <w:pPr>
        <w:shd w:val="clear" w:color="auto" w:fill="FDEDEC"/>
        <w:spacing w:before="120" w:after="120"/>
        <w:ind w:left="200" w:right="200"/>
      </w:pPr>
      <w:r>
        <w:rPr>
          <w:rFonts w:ascii="MS Gothic" w:hAnsi="MS Gothic"/>
          <w:b/>
          <w:color w:val="C0392B"/>
          <w:sz w:val="21"/>
        </w:rPr>
        <w:t>⚠ キャリアアップ助成金（正社員化コース）は、不正申請が後を絶たない助成金の筆頭です。</w:t>
      </w:r>
    </w:p>
    <w:p>
      <w:pPr>
        <w:spacing w:after="40"/>
      </w:pPr>
    </w:p>
    <w:p>
      <w:pPr>
        <w:spacing w:after="100"/>
      </w:pPr>
      <w:r>
        <w:rPr>
          <w:rFonts w:ascii="MS Gothic" w:hAnsi="MS Gothic"/>
          <w:b w:val="0"/>
          <w:sz w:val="21"/>
        </w:rPr>
        <w:t>厚生労働省は近年、この助成金に関する不正受給の摘発・返還命令を相次いで公表しています。不正の手口は、実態のない正社員転換の作出、就業規則の形式的な整備、転換前後の賃金操作など多岐にわたります。</w:t>
      </w:r>
    </w:p>
    <w:p>
      <w:pPr>
        <w:spacing w:after="100"/>
      </w:pPr>
      <w:r>
        <w:rPr>
          <w:rFonts w:ascii="MS Gothic" w:hAnsi="MS Gothic"/>
          <w:b w:val="0"/>
          <w:sz w:val="21"/>
        </w:rPr>
        <w:t>そして問題は、不正申請に関与した社労士も、行政から厳しく問われるという点です。</w:t>
      </w:r>
    </w:p>
    <w:p>
      <w:pPr>
        <w:spacing w:after="40"/>
      </w:pPr>
    </w:p>
    <w:p>
      <w:pPr>
        <w:shd w:val="clear" w:color="auto" w:fill="C0392B"/>
        <w:spacing w:before="200" w:after="80"/>
      </w:pPr>
      <w:r>
        <w:rPr>
          <w:rFonts w:ascii="MS Gothic" w:hAnsi="MS Gothic"/>
          <w:b/>
          <w:color w:val="FFFFFF"/>
          <w:sz w:val="24"/>
        </w:rPr>
        <w:t>2. 社労士自身が負うリスク</w:t>
      </w:r>
    </w:p>
    <w:p>
      <w:pPr>
        <w:spacing w:before="160" w:after="60"/>
      </w:pPr>
      <w:r>
        <w:rPr>
          <w:rFonts w:ascii="MS Gothic" w:hAnsi="MS Gothic"/>
          <w:b/>
          <w:color w:val="2E8B8B"/>
          <w:sz w:val="22"/>
        </w:rPr>
        <w:t>2-1. 社労士法上の責任</w:t>
      </w:r>
    </w:p>
    <w:p>
      <w:pPr>
        <w:spacing w:after="100"/>
      </w:pPr>
      <w:r>
        <w:rPr>
          <w:rFonts w:ascii="MS Gothic" w:hAnsi="MS Gothic"/>
          <w:b w:val="0"/>
          <w:sz w:val="21"/>
        </w:rPr>
        <w:t>社労士は、申請書類の作成や手続きの代行を業として行う立場にあります。顧客の指示があったとしても、虚偽の申請書類を作成・提出した場合、社労士自身が社労士法違反に問われる可能性があります。</w:t>
      </w:r>
    </w:p>
    <w:p>
      <w:pPr>
        <w:spacing w:after="40"/>
      </w:pPr>
    </w:p>
    <w:tbl>
      <w:tblPr>
        <w:tblStyle w:val="TableGrid"/>
        <w:tblW w:type="auto" w:w="0"/>
        <w:tblLook w:firstColumn="1" w:firstRow="1" w:lastColumn="0" w:lastRow="0" w:noHBand="0" w:noVBand="1" w:val="04A0"/>
      </w:tblPr>
      <w:tblGrid>
        <w:gridCol w:w="4703"/>
        <w:gridCol w:w="4703"/>
      </w:tblGrid>
      <w:tr>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リスクの種類</w:t>
            </w:r>
          </w:p>
        </w:tc>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内容</w:t>
            </w:r>
          </w:p>
        </w:tc>
      </w:tr>
      <w:tr>
        <w:tc>
          <w:tcPr>
            <w:tcW w:type="dxa" w:w="4703"/>
            <w:tcBorders>
              <w:top w:val="single" w:sz="4" w:space="0" w:color="AAAAAA"/>
              <w:left w:val="single" w:sz="4" w:space="0" w:color="AAAAAA"/>
              <w:bottom w:val="single" w:sz="4" w:space="0" w:color="AAAAAA"/>
              <w:right w:val="single" w:sz="4" w:space="0" w:color="AAAAAA"/>
            </w:tcBorders>
          </w:tcPr>
          <w:p>
            <w:r>
              <w:t>業務停止・登録取消</w:t>
            </w:r>
          </w:p>
        </w:tc>
        <w:tc>
          <w:tcPr>
            <w:tcW w:type="dxa" w:w="4703"/>
            <w:tcBorders>
              <w:top w:val="single" w:sz="4" w:space="0" w:color="AAAAAA"/>
              <w:left w:val="single" w:sz="4" w:space="0" w:color="AAAAAA"/>
              <w:bottom w:val="single" w:sz="4" w:space="0" w:color="AAAAAA"/>
              <w:right w:val="single" w:sz="4" w:space="0" w:color="AAAAAA"/>
            </w:tcBorders>
          </w:tcPr>
          <w:p>
            <w:r>
              <w:t>社労士法に基づく行政処分（戒告・業務停止・登録取消）の対象となり得る</w:t>
            </w:r>
          </w:p>
        </w:tc>
      </w:tr>
      <w:tr>
        <w:tc>
          <w:tcPr>
            <w:tcW w:type="dxa" w:w="4703"/>
            <w:tcBorders>
              <w:top w:val="single" w:sz="4" w:space="0" w:color="AAAAAA"/>
              <w:left w:val="single" w:sz="4" w:space="0" w:color="AAAAAA"/>
              <w:bottom w:val="single" w:sz="4" w:space="0" w:color="AAAAAA"/>
              <w:right w:val="single" w:sz="4" w:space="0" w:color="AAAAAA"/>
            </w:tcBorders>
          </w:tcPr>
          <w:p>
            <w:r>
              <w:t>連帯返還命令</w:t>
            </w:r>
          </w:p>
        </w:tc>
        <w:tc>
          <w:tcPr>
            <w:tcW w:type="dxa" w:w="4703"/>
            <w:tcBorders>
              <w:top w:val="single" w:sz="4" w:space="0" w:color="AAAAAA"/>
              <w:left w:val="single" w:sz="4" w:space="0" w:color="AAAAAA"/>
              <w:bottom w:val="single" w:sz="4" w:space="0" w:color="AAAAAA"/>
              <w:right w:val="single" w:sz="4" w:space="0" w:color="AAAAAA"/>
            </w:tcBorders>
          </w:tcPr>
          <w:p>
            <w:r>
              <w:t>不正受給額の返還に連帯して責任を負うケースがある</w:t>
            </w:r>
          </w:p>
        </w:tc>
      </w:tr>
      <w:tr>
        <w:tc>
          <w:tcPr>
            <w:tcW w:type="dxa" w:w="4703"/>
            <w:tcBorders>
              <w:top w:val="single" w:sz="4" w:space="0" w:color="AAAAAA"/>
              <w:left w:val="single" w:sz="4" w:space="0" w:color="AAAAAA"/>
              <w:bottom w:val="single" w:sz="4" w:space="0" w:color="AAAAAA"/>
              <w:right w:val="single" w:sz="4" w:space="0" w:color="AAAAAA"/>
            </w:tcBorders>
          </w:tcPr>
          <w:p>
            <w:r>
              <w:t>刑事責任</w:t>
            </w:r>
          </w:p>
        </w:tc>
        <w:tc>
          <w:tcPr>
            <w:tcW w:type="dxa" w:w="4703"/>
            <w:tcBorders>
              <w:top w:val="single" w:sz="4" w:space="0" w:color="AAAAAA"/>
              <w:left w:val="single" w:sz="4" w:space="0" w:color="AAAAAA"/>
              <w:bottom w:val="single" w:sz="4" w:space="0" w:color="AAAAAA"/>
              <w:right w:val="single" w:sz="4" w:space="0" w:color="AAAAAA"/>
            </w:tcBorders>
          </w:tcPr>
          <w:p>
            <w:r>
              <w:t>詐欺罪等として刑事事件に発展する可能性もゼロではない</w:t>
            </w:r>
          </w:p>
        </w:tc>
      </w:tr>
    </w:tbl>
    <w:p>
      <w:pPr>
        <w:spacing w:after="40"/>
      </w:pPr>
    </w:p>
    <w:p>
      <w:pPr>
        <w:spacing w:before="160" w:after="60"/>
      </w:pPr>
      <w:r>
        <w:rPr>
          <w:rFonts w:ascii="MS Gothic" w:hAnsi="MS Gothic"/>
          <w:b/>
          <w:color w:val="2E8B8B"/>
          <w:sz w:val="22"/>
        </w:rPr>
        <w:t>2-2. 顧客との信頼関係への影響</w:t>
      </w:r>
    </w:p>
    <w:p>
      <w:pPr>
        <w:spacing w:after="100"/>
      </w:pPr>
      <w:r>
        <w:rPr>
          <w:rFonts w:ascii="MS Gothic" w:hAnsi="MS Gothic"/>
          <w:b w:val="0"/>
          <w:sz w:val="21"/>
        </w:rPr>
        <w:t>万一、顧客が不正受給として認定された場合、返還命令・追加徴収（最大で受給額の2倍）が課されます。顧客の経営に深刻なダメージを与えることになり、社労士との信頼関係も失われかねません。</w:t>
      </w:r>
    </w:p>
    <w:p>
      <w:pPr>
        <w:shd w:val="clear" w:color="auto" w:fill="FDEDEC"/>
        <w:spacing w:before="120" w:after="120"/>
        <w:ind w:left="200" w:right="200"/>
      </w:pPr>
      <w:r>
        <w:rPr>
          <w:rFonts w:ascii="MS Gothic" w:hAnsi="MS Gothic"/>
          <w:b/>
          <w:color w:val="C0392B"/>
          <w:sz w:val="21"/>
        </w:rPr>
        <w:t>⚠ 「顧客から頼まれたから」では、社労士としての責任は免れません。</w:t>
      </w:r>
    </w:p>
    <w:p>
      <w:pPr>
        <w:spacing w:after="40"/>
      </w:pPr>
    </w:p>
    <w:p>
      <w:pPr>
        <w:shd w:val="clear" w:color="auto" w:fill="C0392B"/>
        <w:spacing w:before="200" w:after="80"/>
      </w:pPr>
      <w:r>
        <w:rPr>
          <w:rFonts w:ascii="MS Gothic" w:hAnsi="MS Gothic"/>
          <w:b/>
          <w:color w:val="FFFFFF"/>
          <w:sz w:val="24"/>
        </w:rPr>
        <w:t>3. なぜ不正が生まれやすいのか</w:t>
      </w:r>
    </w:p>
    <w:p>
      <w:pPr>
        <w:spacing w:after="100"/>
      </w:pPr>
      <w:r>
        <w:rPr>
          <w:rFonts w:ascii="MS Gothic" w:hAnsi="MS Gothic"/>
          <w:b w:val="0"/>
          <w:sz w:val="21"/>
        </w:rPr>
        <w:t>この助成金の構造上、不正が発生しやすい背景があります。</w:t>
      </w:r>
    </w:p>
    <w:p>
      <w:pPr>
        <w:spacing w:after="40"/>
      </w:pPr>
    </w:p>
    <w:p>
      <w:pPr>
        <w:spacing w:after="60"/>
        <w:ind w:left="280"/>
      </w:pPr>
      <w:r>
        <w:rPr>
          <w:rFonts w:ascii="MS Gothic" w:hAnsi="MS Gothic"/>
          <w:b w:val="0"/>
          <w:color w:val="C0392B"/>
          <w:sz w:val="21"/>
        </w:rPr>
        <w:t>・「形式上の正社員転換」で申請できるため、実態確認が難しい</w:t>
      </w:r>
    </w:p>
    <w:p>
      <w:pPr>
        <w:spacing w:after="60"/>
        <w:ind w:left="280"/>
      </w:pPr>
      <w:r>
        <w:rPr>
          <w:rFonts w:ascii="MS Gothic" w:hAnsi="MS Gothic"/>
          <w:b w:val="0"/>
          <w:color w:val="C0392B"/>
          <w:sz w:val="21"/>
        </w:rPr>
        <w:t>・転換前後の賃金・待遇の変化が数字上だけで作れてしまう</w:t>
      </w:r>
    </w:p>
    <w:p>
      <w:pPr>
        <w:spacing w:after="60"/>
        <w:ind w:left="280"/>
      </w:pPr>
      <w:r>
        <w:rPr>
          <w:rFonts w:ascii="MS Gothic" w:hAnsi="MS Gothic"/>
          <w:b w:val="0"/>
          <w:color w:val="C0392B"/>
          <w:sz w:val="21"/>
        </w:rPr>
        <w:t>・就業規則の整備が「書面上だけ」でも通過するケースがある</w:t>
      </w:r>
    </w:p>
    <w:p>
      <w:pPr>
        <w:spacing w:after="60"/>
        <w:ind w:left="280"/>
      </w:pPr>
      <w:r>
        <w:rPr>
          <w:rFonts w:ascii="MS Gothic" w:hAnsi="MS Gothic"/>
          <w:b w:val="0"/>
          <w:color w:val="C0392B"/>
          <w:sz w:val="21"/>
        </w:rPr>
        <w:t>・申請から支給まで時間差があり、実態と書類の乖離が生じやすい</w:t>
      </w:r>
    </w:p>
    <w:p>
      <w:pPr>
        <w:spacing w:after="60"/>
        <w:ind w:left="280"/>
      </w:pPr>
      <w:r>
        <w:rPr>
          <w:rFonts w:ascii="MS Gothic" w:hAnsi="MS Gothic"/>
          <w:b w:val="0"/>
          <w:color w:val="C0392B"/>
          <w:sz w:val="21"/>
        </w:rPr>
        <w:t>・高額な助成金（1人あたり最大80万円超）が短期間で受給できる</w:t>
      </w:r>
    </w:p>
    <w:p>
      <w:pPr>
        <w:spacing w:after="40"/>
      </w:pPr>
    </w:p>
    <w:p>
      <w:pPr>
        <w:spacing w:after="100"/>
      </w:pPr>
      <w:r>
        <w:rPr>
          <w:rFonts w:ascii="MS Gothic" w:hAnsi="MS Gothic"/>
          <w:b w:val="0"/>
          <w:sz w:val="21"/>
        </w:rPr>
        <w:t>こうした構造が、顧客側・申請代行側の双方において、意図的・非意図的を問わず、「グレーな申請」を生み出す温床になっています。</w:t>
      </w:r>
    </w:p>
    <w:p>
      <w:pPr>
        <w:spacing w:after="40"/>
      </w:pPr>
    </w:p>
    <w:p>
      <w:pPr>
        <w:shd w:val="clear" w:color="auto" w:fill="C0392B"/>
        <w:spacing w:before="200" w:after="80"/>
      </w:pPr>
      <w:r>
        <w:rPr>
          <w:rFonts w:ascii="MS Gothic" w:hAnsi="MS Gothic"/>
          <w:b/>
          <w:color w:val="FFFFFF"/>
          <w:sz w:val="24"/>
        </w:rPr>
        <w:t>4. 行政の目は年々厳しくなっている</w:t>
      </w:r>
    </w:p>
    <w:p>
      <w:pPr>
        <w:spacing w:after="100"/>
      </w:pPr>
      <w:r>
        <w:rPr>
          <w:rFonts w:ascii="MS Gothic" w:hAnsi="MS Gothic"/>
          <w:b w:val="0"/>
          <w:sz w:val="21"/>
        </w:rPr>
        <w:t>厚生労働省は、雇用関係助成金全般にわたって審査・調査を強化しています。特にキャリアアップ助成金については、</w:t>
      </w:r>
    </w:p>
    <w:p>
      <w:pPr>
        <w:spacing w:after="60"/>
        <w:ind w:left="280"/>
      </w:pPr>
      <w:r>
        <w:rPr>
          <w:rFonts w:ascii="MS Gothic" w:hAnsi="MS Gothic"/>
          <w:b w:val="0"/>
          <w:sz w:val="21"/>
        </w:rPr>
        <w:t>・申請書類と実態の突き合わせ調査</w:t>
      </w:r>
    </w:p>
    <w:p>
      <w:pPr>
        <w:spacing w:after="60"/>
        <w:ind w:left="280"/>
      </w:pPr>
      <w:r>
        <w:rPr>
          <w:rFonts w:ascii="MS Gothic" w:hAnsi="MS Gothic"/>
          <w:b w:val="0"/>
          <w:sz w:val="21"/>
        </w:rPr>
        <w:t>・転換前後の賃金台帳・出勤簿の精査</w:t>
      </w:r>
    </w:p>
    <w:p>
      <w:pPr>
        <w:spacing w:after="60"/>
        <w:ind w:left="280"/>
      </w:pPr>
      <w:r>
        <w:rPr>
          <w:rFonts w:ascii="MS Gothic" w:hAnsi="MS Gothic"/>
          <w:b w:val="0"/>
          <w:sz w:val="21"/>
        </w:rPr>
        <w:t>・労働者への個別ヒアリング</w:t>
      </w:r>
    </w:p>
    <w:p>
      <w:pPr>
        <w:spacing w:after="60"/>
        <w:ind w:left="280"/>
      </w:pPr>
      <w:r>
        <w:rPr>
          <w:rFonts w:ascii="MS Gothic" w:hAnsi="MS Gothic"/>
          <w:b w:val="0"/>
          <w:sz w:val="21"/>
        </w:rPr>
        <w:t>・過去に遡った不正認定と返還命令</w:t>
      </w:r>
    </w:p>
    <w:p>
      <w:pPr>
        <w:spacing w:after="40"/>
      </w:pPr>
    </w:p>
    <w:p>
      <w:pPr>
        <w:spacing w:after="100"/>
      </w:pPr>
      <w:r>
        <w:rPr>
          <w:rFonts w:ascii="MS Gothic" w:hAnsi="MS Gothic"/>
          <w:b w:val="0"/>
          <w:sz w:val="21"/>
        </w:rPr>
        <w:t>といった対応が取られており、「書類さえ整えれば大丈夫」という時代は終わっています。</w:t>
      </w:r>
    </w:p>
    <w:p>
      <w:pPr>
        <w:shd w:val="clear" w:color="auto" w:fill="FDEDEC"/>
        <w:spacing w:before="120" w:after="120"/>
        <w:ind w:left="200" w:right="200"/>
      </w:pPr>
      <w:r>
        <w:rPr>
          <w:rFonts w:ascii="MS Gothic" w:hAnsi="MS Gothic"/>
          <w:b/>
          <w:color w:val="C0392B"/>
          <w:sz w:val="21"/>
        </w:rPr>
        <w:t>⚠ 今年度は特に、他に優先順位が高い助成金が複数あります。キャリアアップ助成金（正社員化コース）を無理に提案するより、顧客の実態に合った制度を選ぶことが、社労士としての本来の役割です。</w:t>
      </w:r>
    </w:p>
    <w:p>
      <w:pPr>
        <w:spacing w:after="40"/>
      </w:pPr>
    </w:p>
    <w:p>
      <w:pPr>
        <w:shd w:val="clear" w:color="auto" w:fill="2E8B8B"/>
        <w:spacing w:before="200" w:after="80"/>
      </w:pPr>
      <w:r>
        <w:rPr>
          <w:rFonts w:ascii="MS Gothic" w:hAnsi="MS Gothic"/>
          <w:b/>
          <w:color w:val="FFFFFF"/>
          <w:sz w:val="24"/>
        </w:rPr>
        <w:t>5. 社労士として取るべき姿勢</w:t>
      </w:r>
    </w:p>
    <w:p>
      <w:pPr>
        <w:spacing w:after="100"/>
      </w:pPr>
      <w:r>
        <w:rPr>
          <w:rFonts w:ascii="MS Gothic" w:hAnsi="MS Gothic"/>
          <w:b w:val="0"/>
          <w:sz w:val="21"/>
        </w:rPr>
        <w:t>この助成金を「絶対に提案してはいけない」とは言いません。実態を伴った正社員転換を行っている顧客に対して、適正に申請を支援することは、正当な業務です。</w:t>
      </w:r>
    </w:p>
    <w:p>
      <w:pPr>
        <w:spacing w:after="100"/>
      </w:pPr>
      <w:r>
        <w:rPr>
          <w:rFonts w:ascii="MS Gothic" w:hAnsi="MS Gothic"/>
          <w:b w:val="0"/>
          <w:sz w:val="21"/>
        </w:rPr>
        <w:t>ただし、以下の点を今一度確認することを強くお勧めします。</w:t>
      </w:r>
    </w:p>
    <w:p>
      <w:pPr>
        <w:spacing w:after="40"/>
      </w:pPr>
    </w:p>
    <w:tbl>
      <w:tblPr>
        <w:tblStyle w:val="TableGrid"/>
        <w:tblW w:type="auto" w:w="0"/>
        <w:tblLook w:firstColumn="1" w:firstRow="1" w:lastColumn="0" w:lastRow="0" w:noHBand="0" w:noVBand="1" w:val="04A0"/>
      </w:tblPr>
      <w:tblGrid>
        <w:gridCol w:w="4703"/>
        <w:gridCol w:w="4703"/>
      </w:tblGrid>
      <w:tr>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確認項目</w:t>
            </w:r>
          </w:p>
        </w:tc>
        <w:tc>
          <w:tcPr>
            <w:tcW w:type="dxa" w:w="4703"/>
            <w:shd w:val="clear" w:color="auto" w:fill="2E8B8B"/>
            <w:tcBorders>
              <w:top w:val="single" w:sz="4" w:space="0" w:color="AAAAAA"/>
              <w:left w:val="single" w:sz="4" w:space="0" w:color="AAAAAA"/>
              <w:bottom w:val="single" w:sz="4" w:space="0" w:color="AAAAAA"/>
              <w:right w:val="single" w:sz="4" w:space="0" w:color="AAAAAA"/>
            </w:tcBorders>
          </w:tcPr>
          <w:p>
            <w:r/>
            <w:r>
              <w:rPr>
                <w:rFonts w:ascii="MS Gothic" w:hAnsi="MS Gothic"/>
                <w:b/>
                <w:color w:val="FFFFFF"/>
                <w:sz w:val="20"/>
              </w:rPr>
              <w:t>チェック</w:t>
            </w:r>
          </w:p>
        </w:tc>
      </w:tr>
      <w:tr>
        <w:tc>
          <w:tcPr>
            <w:tcW w:type="dxa" w:w="4703"/>
            <w:tcBorders>
              <w:top w:val="single" w:sz="4" w:space="0" w:color="AAAAAA"/>
              <w:left w:val="single" w:sz="4" w:space="0" w:color="AAAAAA"/>
              <w:bottom w:val="single" w:sz="4" w:space="0" w:color="AAAAAA"/>
              <w:right w:val="single" w:sz="4" w:space="0" w:color="AAAAAA"/>
            </w:tcBorders>
          </w:tcPr>
          <w:p>
            <w:r>
              <w:t>正社員転換が「実態を伴った」ものであるか</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転換後の賃金・待遇が就業規則と一致しているか</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転換対象者の雇用保険加入状況・雇用期間に問題がないか</w:t>
            </w:r>
          </w:p>
        </w:tc>
        <w:tc>
          <w:tcPr>
            <w:tcW w:type="dxa" w:w="4703"/>
            <w:tcBorders>
              <w:top w:val="single" w:sz="4" w:space="0" w:color="AAAAAA"/>
              <w:left w:val="single" w:sz="4" w:space="0" w:color="AAAAAA"/>
              <w:bottom w:val="single" w:sz="4" w:space="0" w:color="AAAAAA"/>
              <w:right w:val="single" w:sz="4" w:space="0" w:color="AAAAAA"/>
            </w:tcBorders>
          </w:tcPr>
          <w:p>
            <w:r>
              <w:t>□</w:t>
            </w:r>
          </w:p>
        </w:tc>
      </w:tr>
      <w:tr>
        <w:tc>
          <w:tcPr>
            <w:tcW w:type="dxa" w:w="4703"/>
            <w:tcBorders>
              <w:top w:val="single" w:sz="4" w:space="0" w:color="AAAAAA"/>
              <w:left w:val="single" w:sz="4" w:space="0" w:color="AAAAAA"/>
              <w:bottom w:val="single" w:sz="4" w:space="0" w:color="AAAAAA"/>
              <w:right w:val="single" w:sz="4" w:space="0" w:color="AAAAAA"/>
            </w:tcBorders>
          </w:tcPr>
          <w:p>
            <w:r>
              <w:t>申請書類の内容がすべて事実に基づいているか</w:t>
            </w:r>
          </w:p>
        </w:tc>
        <w:tc>
          <w:tcPr>
            <w:tcW w:type="dxa" w:w="4703"/>
            <w:tcBorders>
              <w:top w:val="single" w:sz="4" w:space="0" w:color="AAAAAA"/>
              <w:left w:val="single" w:sz="4" w:space="0" w:color="AAAAAA"/>
              <w:bottom w:val="single" w:sz="4" w:space="0" w:color="AAAAAA"/>
              <w:right w:val="single" w:sz="4" w:space="0" w:color="AAAAAA"/>
            </w:tcBorders>
          </w:tcPr>
          <w:p>
            <w:r>
              <w:t>□</w:t>
            </w:r>
          </w:p>
        </w:tc>
      </w:tr>
    </w:tbl>
    <w:p>
      <w:pPr>
        <w:spacing w:after="40"/>
      </w:pPr>
    </w:p>
    <w:p>
      <w:pPr>
        <w:shd w:val="clear" w:color="auto" w:fill="E8F5F5"/>
        <w:spacing w:before="80" w:after="120"/>
        <w:ind w:left="200" w:right="200"/>
      </w:pPr>
      <w:r>
        <w:rPr>
          <w:rFonts w:ascii="MS Gothic" w:hAnsi="MS Gothic"/>
          <w:b w:val="0"/>
          <w:sz w:val="21"/>
        </w:rPr>
        <w:t>★ 「書類を整えること」ではなく「実態を確認すること」が、社労士の関与すべき本質です。</w:t>
      </w:r>
    </w:p>
    <w:p>
      <w:pPr>
        <w:spacing w:after="40"/>
      </w:pPr>
    </w:p>
    <w:p>
      <w:pPr>
        <w:spacing w:after="100"/>
      </w:pPr>
      <w:r>
        <w:rPr>
          <w:rFonts w:ascii="MS Gothic" w:hAnsi="MS Gothic"/>
          <w:b w:val="0"/>
          <w:sz w:val="21"/>
        </w:rPr>
        <w:t>次回以降のメルマガでは、今年度の優先度が高い助成金について、具体的な活用ポイントをお伝えします。引き続きご覧いただければ幸いです。</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Gothic" w:hAnsi="MS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