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Yu Gothic" w:cs="Yu Gothic" w:eastAsia="Yu Gothic" w:hAnsi="Yu Gothic"/>
          <w:b/>
          <w:bCs/>
          <w:sz w:val="32"/>
          <w:szCs w:val="32"/>
        </w:rPr>
        <w:t xml:space="preserve">36協定の締結支援・労基署対応見直しに関する社労士向け解説書</w:t>
      </w:r>
    </w:p>
    <w:p>
      <w:pPr>
        <w:spacing w:after="300"/>
      </w:pPr>
      <w:r>
        <w:rPr>
          <w:rFonts w:ascii="Yu Mincho" w:cs="Yu Mincho" w:eastAsia="Yu Mincho" w:hAnsi="Yu Mincho"/>
          <w:color w:val="555555"/>
          <w:sz w:val="18"/>
          <w:szCs w:val="18"/>
        </w:rPr>
        <w:t xml:space="preserve">対象：社会保険労務士（顧問先企業への説明・助言業務に従事する方）　／　施行時期：令和8年（2026年）9月1日〜　／　実施主体：全国の働き方改革推進支援センター、労働基準監督署</w:t>
      </w:r>
    </w:p>
    <w:p>
      <w:pPr>
        <w:pBdr>
          <w:bottom w:val="single" w:color="999999" w:sz="6" w:space="1"/>
        </w:pBdr>
        <w:spacing w:after="200" w:before="200"/>
      </w:pPr>
    </w:p>
    <w:p>
      <w:pPr>
        <w:pStyle w:val="Heading1"/>
        <w:spacing w:after="160" w:before="320"/>
      </w:pPr>
      <w:r>
        <w:rPr>
          <w:rFonts w:ascii="Yu Gothic" w:cs="Yu Gothic" w:eastAsia="Yu Gothic" w:hAnsi="Yu Gothic"/>
          <w:b/>
          <w:bCs/>
        </w:rPr>
        <w:t xml:space="preserve">1. 概要</w:t>
      </w:r>
    </w:p>
    <w:p>
      <w:pPr>
        <w:spacing w:after="160"/>
      </w:pPr>
      <w:r>
        <w:rPr>
          <w:rFonts w:ascii="Yu Mincho" w:cs="Yu Mincho" w:eastAsia="Yu Mincho" w:hAnsi="Yu Mincho"/>
          <w:sz w:val="21"/>
          <w:szCs w:val="21"/>
        </w:rPr>
        <w:t xml:space="preserve">厚生労働省は、令和8年9月1日より、全国の働き方改革推進支援センターおよび労働基準監督署において、以下の2つの取組みを開始します。</w:t>
      </w:r>
    </w:p>
    <w:p>
      <w:pPr>
        <w:pStyle w:val="ListParagraph"/>
        <w:numPr>
          <w:ilvl w:val="0"/>
          <w:numId w:val="2"/>
        </w:numPr>
        <w:spacing w:after="80"/>
      </w:pPr>
      <w:r>
        <w:rPr>
          <w:rFonts w:ascii="Yu Mincho" w:cs="Yu Mincho" w:eastAsia="Yu Mincho" w:hAnsi="Yu Mincho"/>
          <w:sz w:val="21"/>
          <w:szCs w:val="21"/>
        </w:rPr>
        <w:t xml:space="preserve">36協定の締結等に関する相談・支援の充実</w:t>
      </w:r>
    </w:p>
    <w:p>
      <w:pPr>
        <w:pStyle w:val="ListParagraph"/>
        <w:numPr>
          <w:ilvl w:val="0"/>
          <w:numId w:val="2"/>
        </w:numPr>
        <w:spacing w:after="80"/>
      </w:pPr>
      <w:r>
        <w:rPr>
          <w:rFonts w:ascii="Yu Mincho" w:cs="Yu Mincho" w:eastAsia="Yu Mincho" w:hAnsi="Yu Mincho"/>
          <w:sz w:val="21"/>
          <w:szCs w:val="21"/>
        </w:rPr>
        <w:t xml:space="preserve">労働基準監督署における対応（指導）の見直し</w:t>
      </w:r>
    </w:p>
    <w:p>
      <w:pPr>
        <w:spacing w:after="160"/>
      </w:pPr>
      <w:r>
        <w:rPr>
          <w:rFonts w:ascii="Yu Mincho" w:cs="Yu Mincho" w:eastAsia="Yu Mincho" w:hAnsi="Yu Mincho"/>
          <w:sz w:val="21"/>
          <w:szCs w:val="21"/>
        </w:rPr>
        <w:t xml:space="preserve">いずれも、企業の36協定運用・時間外労働管理に直接関わる内容であり、顧問先企業への情報提供・実務支援を行う社労士にとって重要な変更です。以下、内容と実務上の留意点を整理します。</w:t>
      </w:r>
    </w:p>
    <w:p>
      <w:pPr>
        <w:pStyle w:val="Heading1"/>
        <w:spacing w:after="160" w:before="320"/>
      </w:pPr>
      <w:r>
        <w:rPr>
          <w:rFonts w:ascii="Yu Gothic" w:cs="Yu Gothic" w:eastAsia="Yu Gothic" w:hAnsi="Yu Gothic"/>
          <w:b/>
          <w:bCs/>
        </w:rPr>
        <w:t xml:space="preserve">2. 36協定の締結等に関する相談・支援の充実</w:t>
      </w:r>
    </w:p>
    <w:p>
      <w:pPr>
        <w:pStyle w:val="Heading2"/>
        <w:spacing w:after="160" w:before="320"/>
      </w:pPr>
      <w:r>
        <w:rPr>
          <w:rFonts w:ascii="Yu Gothic" w:cs="Yu Gothic" w:eastAsia="Yu Gothic" w:hAnsi="Yu Gothic"/>
          <w:b/>
          <w:bCs/>
        </w:rPr>
        <w:t xml:space="preserve">2.1 専門相談窓口の新設</w:t>
      </w:r>
    </w:p>
    <w:p>
      <w:pPr>
        <w:spacing w:after="160"/>
      </w:pPr>
      <w:r>
        <w:rPr>
          <w:rFonts w:ascii="Yu Mincho" w:cs="Yu Mincho" w:eastAsia="Yu Mincho" w:hAnsi="Yu Mincho"/>
          <w:sz w:val="21"/>
          <w:szCs w:val="21"/>
        </w:rPr>
        <w:t xml:space="preserve">全国の働き方改革推進支援センターに、以下を支援する「専門相談窓口」が設置されます。</w:t>
      </w:r>
    </w:p>
    <w:p>
      <w:pPr>
        <w:pStyle w:val="ListParagraph"/>
        <w:numPr>
          <w:ilvl w:val="0"/>
          <w:numId w:val="2"/>
        </w:numPr>
        <w:spacing w:after="80"/>
      </w:pPr>
      <w:r>
        <w:rPr>
          <w:rFonts w:ascii="Yu Mincho" w:cs="Yu Mincho" w:eastAsia="Yu Mincho" w:hAnsi="Yu Mincho"/>
          <w:sz w:val="21"/>
          <w:szCs w:val="21"/>
        </w:rPr>
        <w:t xml:space="preserve">36協定・特別条項の締結に関する相談</w:t>
      </w:r>
    </w:p>
    <w:p>
      <w:pPr>
        <w:pStyle w:val="ListParagraph"/>
        <w:numPr>
          <w:ilvl w:val="0"/>
          <w:numId w:val="2"/>
        </w:numPr>
        <w:spacing w:after="80"/>
      </w:pPr>
      <w:r>
        <w:rPr>
          <w:rFonts w:ascii="Yu Mincho" w:cs="Yu Mincho" w:eastAsia="Yu Mincho" w:hAnsi="Yu Mincho"/>
          <w:sz w:val="21"/>
          <w:szCs w:val="21"/>
        </w:rPr>
        <w:t xml:space="preserve">柔軟な労働時間制度（フレックスタイム制、変形労働時間制等）の活用に関する相談</w:t>
      </w:r>
    </w:p>
    <w:p>
      <w:pPr>
        <w:spacing w:after="160"/>
      </w:pPr>
      <w:r>
        <w:rPr>
          <w:rFonts w:ascii="Yu Gothic" w:cs="Yu Gothic" w:eastAsia="Yu Gothic" w:hAnsi="Yu Gothic"/>
          <w:b/>
          <w:bCs/>
          <w:sz w:val="21"/>
          <w:szCs w:val="21"/>
        </w:rPr>
        <w:t xml:space="preserve">社労士の視点：</w:t>
      </w:r>
      <w:r>
        <w:rPr>
          <w:rFonts w:ascii="Yu Mincho" w:cs="Yu Mincho" w:eastAsia="Yu Mincho" w:hAnsi="Yu Mincho"/>
          <w:sz w:val="21"/>
          <w:szCs w:val="21"/>
        </w:rPr>
        <w:t xml:space="preserve">顧問先が36協定の様式・特別条項の設定（限度時間・健康福祉確保措置等）で迷う場合、自社での対応に加えて、このセンターの専門窓口を「セカンドオピニオン」的に案内できます。特に、初めて特別条項付き36協定を締結する企業や、労働時間制度の見直しを検討している企業には有用な選択肢となります。</w:t>
      </w:r>
    </w:p>
    <w:p>
      <w:pPr>
        <w:pStyle w:val="Heading2"/>
        <w:spacing w:after="160" w:before="320"/>
      </w:pPr>
      <w:r>
        <w:rPr>
          <w:rFonts w:ascii="Yu Gothic" w:cs="Yu Gothic" w:eastAsia="Yu Gothic" w:hAnsi="Yu Gothic"/>
          <w:b/>
          <w:bCs/>
        </w:rPr>
        <w:t xml:space="preserve">2.2 アウトリーチ型の訪問支援</w:t>
      </w:r>
    </w:p>
    <w:p>
      <w:pPr>
        <w:spacing w:after="160"/>
      </w:pPr>
      <w:r>
        <w:rPr>
          <w:rFonts w:ascii="Yu Mincho" w:cs="Yu Mincho" w:eastAsia="Yu Mincho" w:hAnsi="Yu Mincho"/>
          <w:sz w:val="21"/>
          <w:szCs w:val="21"/>
        </w:rPr>
        <w:t xml:space="preserve">働き方改革推進支援センターと労働基準監督署（労働時間相談・支援班）がチームを組み、36協定・特別条項の締結に関して、企業側からの相談を待たずに訪問による支援を行います。</w:t>
      </w:r>
    </w:p>
    <w:p>
      <w:pPr>
        <w:spacing w:after="160"/>
      </w:pPr>
      <w:r>
        <w:rPr>
          <w:rFonts w:ascii="Yu Gothic" w:cs="Yu Gothic" w:eastAsia="Yu Gothic" w:hAnsi="Yu Gothic"/>
          <w:b/>
          <w:bCs/>
          <w:sz w:val="21"/>
          <w:szCs w:val="21"/>
        </w:rPr>
        <w:t xml:space="preserve">社労士の視点：</w:t>
      </w:r>
      <w:r>
        <w:rPr>
          <w:rFonts w:ascii="Yu Mincho" w:cs="Yu Mincho" w:eastAsia="Yu Mincho" w:hAnsi="Yu Mincho"/>
          <w:sz w:val="21"/>
          <w:szCs w:val="21"/>
        </w:rPr>
        <w:t xml:space="preserve"/>
      </w:r>
    </w:p>
    <w:p>
      <w:pPr>
        <w:pStyle w:val="ListParagraph"/>
        <w:numPr>
          <w:ilvl w:val="0"/>
          <w:numId w:val="2"/>
        </w:numPr>
        <w:spacing w:after="80"/>
      </w:pPr>
      <w:r>
        <w:rPr>
          <w:rFonts w:ascii="Yu Mincho" w:cs="Yu Mincho" w:eastAsia="Yu Mincho" w:hAnsi="Yu Mincho"/>
          <w:sz w:val="21"/>
          <w:szCs w:val="21"/>
        </w:rPr>
        <w:t xml:space="preserve">顧問先に労基署・支援センターから訪問の連絡が入る可能性があります。これは是正勧告や監督指導とは異なる「支援」目的であることを、顧問先に事前に説明しておくと無用な不安を避けられます。</w:t>
      </w:r>
    </w:p>
    <w:p>
      <w:pPr>
        <w:pStyle w:val="ListParagraph"/>
        <w:numPr>
          <w:ilvl w:val="0"/>
          <w:numId w:val="2"/>
        </w:numPr>
        <w:spacing w:after="80"/>
      </w:pPr>
      <w:r>
        <w:rPr>
          <w:rFonts w:ascii="Yu Mincho" w:cs="Yu Mincho" w:eastAsia="Yu Mincho" w:hAnsi="Yu Mincho"/>
          <w:sz w:val="21"/>
          <w:szCs w:val="21"/>
        </w:rPr>
        <w:t xml:space="preserve">訪問支援の内容（36協定の記載内容、特別条項の妥当性、健康福祉確保措置の実施状況等）は、社労士が日頃行っている36協定チェックと重なる部分が多いため、事前に自社診断を行っておくことで訪問時の対応がスムーズになります。</w:t>
      </w:r>
    </w:p>
    <w:p>
      <w:pPr>
        <w:pStyle w:val="Heading2"/>
        <w:spacing w:after="160" w:before="320"/>
      </w:pPr>
      <w:r>
        <w:rPr>
          <w:rFonts w:ascii="Yu Gothic" w:cs="Yu Gothic" w:eastAsia="Yu Gothic" w:hAnsi="Yu Gothic"/>
          <w:b/>
          <w:bCs/>
        </w:rPr>
        <w:t xml:space="preserve">2.3 よろず支援拠点・商工会議所等との連携強化</w:t>
      </w:r>
    </w:p>
    <w:p>
      <w:pPr>
        <w:spacing w:after="160"/>
      </w:pPr>
      <w:r>
        <w:rPr>
          <w:rFonts w:ascii="Yu Mincho" w:cs="Yu Mincho" w:eastAsia="Yu Mincho" w:hAnsi="Yu Mincho"/>
          <w:sz w:val="21"/>
          <w:szCs w:val="21"/>
        </w:rPr>
        <w:t xml:space="preserve">労務相談に加え、経営課題の相談にも対応できる体制が構築されます（よろず支援拠点、商工会議所等との連携）。</w:t>
      </w:r>
    </w:p>
    <w:p>
      <w:pPr>
        <w:spacing w:after="160"/>
      </w:pPr>
      <w:r>
        <w:rPr>
          <w:rFonts w:ascii="Yu Gothic" w:cs="Yu Gothic" w:eastAsia="Yu Gothic" w:hAnsi="Yu Gothic"/>
          <w:b/>
          <w:bCs/>
          <w:sz w:val="21"/>
          <w:szCs w:val="21"/>
        </w:rPr>
        <w:t xml:space="preserve">社労士の視点：</w:t>
      </w:r>
      <w:r>
        <w:rPr>
          <w:rFonts w:ascii="Yu Mincho" w:cs="Yu Mincho" w:eastAsia="Yu Mincho" w:hAnsi="Yu Mincho"/>
          <w:sz w:val="21"/>
          <w:szCs w:val="21"/>
        </w:rPr>
        <w:t xml:space="preserve">労務管理の課題が経営課題（人手不足、資金繰り、事業計画等）と密接に関わる中小企業にとって、ワンストップでの相談体制は有益です。社労士としても、こうした支援機関との連携・紹介ルートを把握しておくと、顧問先への提案の幅が広がります。</w:t>
      </w:r>
    </w:p>
    <w:p>
      <w:pPr>
        <w:pStyle w:val="Heading1"/>
        <w:spacing w:after="160" w:before="320"/>
      </w:pPr>
      <w:r>
        <w:rPr>
          <w:rFonts w:ascii="Yu Gothic" w:cs="Yu Gothic" w:eastAsia="Yu Gothic" w:hAnsi="Yu Gothic"/>
          <w:b/>
          <w:bCs/>
        </w:rPr>
        <w:t xml:space="preserve">3. 労働基準監督署における対応の見直し</w:t>
      </w:r>
    </w:p>
    <w:p>
      <w:pPr>
        <w:pStyle w:val="Heading2"/>
        <w:spacing w:after="160" w:before="320"/>
      </w:pPr>
      <w:r>
        <w:rPr>
          <w:rFonts w:ascii="Yu Gothic" w:cs="Yu Gothic" w:eastAsia="Yu Gothic" w:hAnsi="Yu Gothic"/>
          <w:b/>
          <w:bCs/>
        </w:rPr>
        <w:t xml:space="preserve">3.1 従来の指導方法</w:t>
      </w:r>
    </w:p>
    <w:p>
      <w:pPr>
        <w:spacing w:after="160"/>
      </w:pPr>
      <w:r>
        <w:rPr>
          <w:rFonts w:ascii="Yu Mincho" w:cs="Yu Mincho" w:eastAsia="Yu Mincho" w:hAnsi="Yu Mincho"/>
          <w:sz w:val="21"/>
          <w:szCs w:val="21"/>
        </w:rPr>
        <w:t xml:space="preserve">これまでは、時間外・休日労働時間数のみに着目し、「1か月45時間以内への削減」を求める、いわば一律的な指導が行われる傾向がありました。</w:t>
      </w:r>
    </w:p>
    <w:p>
      <w:pPr>
        <w:pStyle w:val="Heading2"/>
        <w:spacing w:after="160" w:before="320"/>
      </w:pPr>
      <w:r>
        <w:rPr>
          <w:rFonts w:ascii="Yu Gothic" w:cs="Yu Gothic" w:eastAsia="Yu Gothic" w:hAnsi="Yu Gothic"/>
          <w:b/>
          <w:bCs/>
        </w:rPr>
        <w:t xml:space="preserve">3.2 見直し後の指導方法</w:t>
      </w:r>
    </w:p>
    <w:p>
      <w:pPr>
        <w:spacing w:after="160"/>
      </w:pPr>
      <w:r>
        <w:rPr>
          <w:rFonts w:ascii="Yu Mincho" w:cs="Yu Mincho" w:eastAsia="Yu Mincho" w:hAnsi="Yu Mincho"/>
          <w:sz w:val="21"/>
          <w:szCs w:val="21"/>
        </w:rPr>
        <w:t xml:space="preserve">今後は、以下のとおり指導のアプローチが変わります。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D9D9D9" w:val="clear"/>
            <w:tcMar>
              <w:top w:type="dxa" w:w="100"/>
              <w:left w:type="dxa" w:w="120"/>
              <w:bottom w:type="dxa" w:w="100"/>
              <w:right w:type="dxa" w:w="120"/>
            </w:tcMar>
            <w:vAlign w:val="center"/>
          </w:tcPr>
          <w:p>
            <w:r>
              <w:rPr>
                <w:rFonts w:ascii="Yu Gothic" w:cs="Yu Gothic" w:eastAsia="Yu Gothic" w:hAnsi="Yu Gothic"/>
                <w:b/>
                <w:bCs/>
                <w:sz w:val="20"/>
                <w:szCs w:val="20"/>
              </w:rPr>
              <w:t xml:space="preserve">項目</w:t>
            </w:r>
          </w:p>
        </w:tc>
        <w:tc>
          <w:tcPr>
            <w:tcW w:type="dxa" w:w="7238"/>
            <w:shd w:fill="D9D9D9" w:val="clear"/>
            <w:tcMar>
              <w:top w:type="dxa" w:w="100"/>
              <w:left w:type="dxa" w:w="120"/>
              <w:bottom w:type="dxa" w:w="100"/>
              <w:right w:type="dxa" w:w="120"/>
            </w:tcMar>
            <w:vAlign w:val="center"/>
          </w:tcPr>
          <w:p>
            <w:r>
              <w:rPr>
                <w:rFonts w:ascii="Yu Gothic" w:cs="Yu Gothic" w:eastAsia="Yu Gothic" w:hAnsi="Yu Gothic"/>
                <w:b/>
                <w:bCs/>
                <w:sz w:val="20"/>
                <w:szCs w:val="20"/>
              </w:rPr>
              <w:t xml:space="preserve">内容</w:t>
            </w:r>
          </w:p>
        </w:tc>
      </w:tr>
      <w:tr>
        <w:tc>
          <w:tcPr>
            <w:tcW w:type="dxa" w:w="2400"/>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重点確認事項</w:t>
            </w:r>
          </w:p>
        </w:tc>
        <w:tc>
          <w:tcPr>
            <w:tcW w:type="dxa" w:w="7238"/>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各事業場が36協定で定める健康及び福祉を確保するための措置の実施状況</w:t>
            </w:r>
          </w:p>
        </w:tc>
      </w:tr>
      <w:tr>
        <w:tc>
          <w:tcPr>
            <w:tcW w:type="dxa" w:w="2400"/>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指導の方法</w:t>
            </w:r>
          </w:p>
        </w:tc>
        <w:tc>
          <w:tcPr>
            <w:tcW w:type="dxa" w:w="7238"/>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確認した実施状況に応じた、必要な指導を実施（一律の時間数削減指導は行わない）</w:t>
            </w:r>
          </w:p>
        </w:tc>
      </w:tr>
      <w:tr>
        <w:tc>
          <w:tcPr>
            <w:tcW w:type="dxa" w:w="2400"/>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例外</w:t>
            </w:r>
          </w:p>
        </w:tc>
        <w:tc>
          <w:tcPr>
            <w:tcW w:type="dxa" w:w="7238"/>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個々の事業場の実態を踏まえ、過重労働による健康障害が生じるおそれが高い場合には、引き続き必要な指導を実施</w:t>
            </w:r>
          </w:p>
        </w:tc>
      </w:tr>
    </w:tbl>
    <w:p>
      <w:pPr>
        <w:spacing w:after="240"/>
      </w:pPr>
    </w:p>
    <w:p>
      <w:pPr>
        <w:spacing w:after="160"/>
      </w:pPr>
      <w:r>
        <w:rPr>
          <w:rFonts w:ascii="Yu Gothic" w:cs="Yu Gothic" w:eastAsia="Yu Gothic" w:hAnsi="Yu Gothic"/>
          <w:b/>
          <w:bCs/>
          <w:sz w:val="21"/>
          <w:szCs w:val="21"/>
        </w:rPr>
        <w:t xml:space="preserve">社労士の視点（実務への影響）：</w:t>
      </w:r>
      <w:r>
        <w:rPr>
          <w:rFonts w:ascii="Yu Mincho" w:cs="Yu Mincho" w:eastAsia="Yu Mincho" w:hAnsi="Yu Mincho"/>
          <w:sz w:val="21"/>
          <w:szCs w:val="21"/>
        </w:rPr>
        <w:t xml:space="preserve"/>
      </w:r>
    </w:p>
    <w:p>
      <w:pPr>
        <w:spacing w:after="160"/>
      </w:pPr>
      <w:r>
        <w:rPr>
          <w:rFonts w:ascii="Yu Gothic" w:cs="Yu Gothic" w:eastAsia="Yu Gothic" w:hAnsi="Yu Gothic"/>
          <w:b/>
          <w:bCs/>
          <w:sz w:val="21"/>
          <w:szCs w:val="21"/>
        </w:rPr>
        <w:t xml:space="preserve">1. 健康福祉確保措置の実効性が問われる時代へ</w:t>
      </w:r>
    </w:p>
    <w:p>
      <w:pPr>
        <w:spacing w:after="160"/>
      </w:pPr>
      <w:r>
        <w:rPr>
          <w:rFonts w:ascii="Yu Mincho" w:cs="Yu Mincho" w:eastAsia="Yu Mincho" w:hAnsi="Yu Mincho"/>
          <w:sz w:val="21"/>
          <w:szCs w:val="21"/>
        </w:rPr>
        <w:t xml:space="preserve">36協定の様式（様式第9号の3等）に記載する「健康及び福祉を確保するための措置」（例：医師による面接指導、代償休日・休暇の付与、健康診断の実施等）について、記載しているだけでなく実際に運用されているかが重点確認事項となります。顧問先の36協定を確認する際は、措置の内容が形骸化していないか、実施記録が残っているかを重点的にチェックする必要があります。</w:t>
      </w:r>
    </w:p>
    <w:p>
      <w:pPr>
        <w:spacing w:after="160"/>
      </w:pPr>
      <w:r>
        <w:rPr>
          <w:rFonts w:ascii="Yu Gothic" w:cs="Yu Gothic" w:eastAsia="Yu Gothic" w:hAnsi="Yu Gothic"/>
          <w:b/>
          <w:bCs/>
          <w:sz w:val="21"/>
          <w:szCs w:val="21"/>
        </w:rPr>
        <w:t xml:space="preserve">2. 「月45時間以内なら安心」という発想の転換が必要</w:t>
      </w:r>
    </w:p>
    <w:p>
      <w:pPr>
        <w:spacing w:after="160"/>
      </w:pPr>
      <w:r>
        <w:rPr>
          <w:rFonts w:ascii="Yu Mincho" w:cs="Yu Mincho" w:eastAsia="Yu Mincho" w:hAnsi="Yu Mincho"/>
          <w:sz w:val="21"/>
          <w:szCs w:val="21"/>
        </w:rPr>
        <w:t xml:space="preserve">一律の時間数削減指導が見直されるとはいえ、これは「45時間を超えても指導されない」という意味ではありません。過重労働による健康障害リスクが高いと判断されれば、引き続き厳格な指導が行われます。むしろ、健康福祉確保措置の実施状況という新たな着眼点が加わったと理解し、顧問先には従来以上に丁寧な運用を助言すべきです。</w:t>
      </w:r>
    </w:p>
    <w:p>
      <w:pPr>
        <w:spacing w:after="160"/>
      </w:pPr>
      <w:r>
        <w:rPr>
          <w:rFonts w:ascii="Yu Gothic" w:cs="Yu Gothic" w:eastAsia="Yu Gothic" w:hAnsi="Yu Gothic"/>
          <w:b/>
          <w:bCs/>
          <w:sz w:val="21"/>
          <w:szCs w:val="21"/>
        </w:rPr>
        <w:t xml:space="preserve">3. 顧問先への具体的なアクション例</w:t>
      </w:r>
    </w:p>
    <w:p>
      <w:pPr>
        <w:pStyle w:val="ListParagraph"/>
        <w:numPr>
          <w:ilvl w:val="0"/>
          <w:numId w:val="2"/>
        </w:numPr>
        <w:spacing w:after="80"/>
      </w:pPr>
      <w:r>
        <w:rPr>
          <w:rFonts w:ascii="Yu Mincho" w:cs="Yu Mincho" w:eastAsia="Yu Mincho" w:hAnsi="Yu Mincho"/>
          <w:sz w:val="21"/>
          <w:szCs w:val="21"/>
        </w:rPr>
        <w:t xml:space="preserve">36協定に定めた健康福祉確保措置の実施状況を記録・保管する仕組みの整備</w:t>
      </w:r>
    </w:p>
    <w:p>
      <w:pPr>
        <w:pStyle w:val="ListParagraph"/>
        <w:numPr>
          <w:ilvl w:val="0"/>
          <w:numId w:val="2"/>
        </w:numPr>
        <w:spacing w:after="80"/>
      </w:pPr>
      <w:r>
        <w:rPr>
          <w:rFonts w:ascii="Yu Mincho" w:cs="Yu Mincho" w:eastAsia="Yu Mincho" w:hAnsi="Yu Mincho"/>
          <w:sz w:val="21"/>
          <w:szCs w:val="21"/>
        </w:rPr>
        <w:t xml:space="preserve">医師による面接指導の実施基準・実施記録の整備（労働安全衛生法第66条の8等との整合）</w:t>
      </w:r>
    </w:p>
    <w:p>
      <w:pPr>
        <w:pStyle w:val="ListParagraph"/>
        <w:numPr>
          <w:ilvl w:val="0"/>
          <w:numId w:val="2"/>
        </w:numPr>
        <w:spacing w:after="80"/>
      </w:pPr>
      <w:r>
        <w:rPr>
          <w:rFonts w:ascii="Yu Mincho" w:cs="Yu Mincho" w:eastAsia="Yu Mincho" w:hAnsi="Yu Mincho"/>
          <w:sz w:val="21"/>
          <w:szCs w:val="21"/>
        </w:rPr>
        <w:t xml:space="preserve">特別条項適用時の手続（労働者代表への通知等）の遵守状況の確認</w:t>
      </w:r>
    </w:p>
    <w:p>
      <w:pPr>
        <w:pStyle w:val="ListParagraph"/>
        <w:numPr>
          <w:ilvl w:val="0"/>
          <w:numId w:val="2"/>
        </w:numPr>
        <w:spacing w:after="80"/>
      </w:pPr>
      <w:r>
        <w:rPr>
          <w:rFonts w:ascii="Yu Mincho" w:cs="Yu Mincho" w:eastAsia="Yu Mincho" w:hAnsi="Yu Mincho"/>
          <w:sz w:val="21"/>
          <w:szCs w:val="21"/>
        </w:rPr>
        <w:t xml:space="preserve">長時間労働者の把握・面接指導のフロー整備</w:t>
      </w:r>
    </w:p>
    <w:p>
      <w:pPr>
        <w:pStyle w:val="Heading1"/>
        <w:spacing w:after="160" w:before="320"/>
      </w:pPr>
      <w:r>
        <w:rPr>
          <w:rFonts w:ascii="Yu Gothic" w:cs="Yu Gothic" w:eastAsia="Yu Gothic" w:hAnsi="Yu Gothic"/>
          <w:b/>
          <w:bCs/>
        </w:rPr>
        <w:t xml:space="preserve">4. 顧問先への案内文例（参考）</w:t>
      </w:r>
    </w:p>
    <w:p>
      <w:pPr>
        <w:pBdr>
          <w:left w:val="single" w:color="999999" w:sz="12" w:space="8"/>
        </w:pBdr>
        <w:spacing w:after="40"/>
        <w:ind w:left="431"/>
      </w:pPr>
      <w:r>
        <w:rPr>
          <w:rFonts w:ascii="Yu Mincho" w:cs="Yu Mincho" w:eastAsia="Yu Mincho" w:hAnsi="Yu Mincho"/>
          <w:i w:val="false"/>
          <w:iCs w:val="false"/>
          <w:sz w:val="20"/>
          <w:szCs w:val="20"/>
        </w:rPr>
        <w:t xml:space="preserve">このたび、厚生労働省より、令和8年9月1日から働き方改革推進支援センター・労働基準監督署における36協定関連の相談支援・指導方法が変更される旨の発表がありました。</w:t>
      </w:r>
    </w:p>
    <w:p>
      <w:pPr>
        <w:pBdr>
          <w:left w:val="single" w:color="999999" w:sz="12" w:space="8"/>
        </w:pBdr>
        <w:spacing w:after="40"/>
        <w:ind w:left="431"/>
      </w:pPr>
      <w:r>
        <w:rPr>
          <w:rFonts w:ascii="Yu Mincho" w:cs="Yu Mincho" w:eastAsia="Yu Mincho" w:hAnsi="Yu Mincho"/>
          <w:i w:val="false"/>
          <w:iCs w:val="false"/>
          <w:sz w:val="20"/>
          <w:szCs w:val="20"/>
        </w:rPr>
        <w:t xml:space="preserve"/>
      </w:r>
    </w:p>
    <w:p>
      <w:pPr>
        <w:pBdr>
          <w:left w:val="single" w:color="999999" w:sz="12" w:space="8"/>
        </w:pBdr>
        <w:spacing w:after="40"/>
        <w:ind w:left="431"/>
      </w:pPr>
      <w:r>
        <w:rPr>
          <w:rFonts w:ascii="Yu Mincho" w:cs="Yu Mincho" w:eastAsia="Yu Mincho" w:hAnsi="Yu Mincho"/>
          <w:i w:val="false"/>
          <w:iCs w:val="false"/>
          <w:sz w:val="20"/>
          <w:szCs w:val="20"/>
        </w:rPr>
        <w:t xml:space="preserve">具体的には、①36協定・特別条項の締結や柔軟な労働時間制度の活用に関する専門相談窓口の設置、②労基署による一律の時間数指導から、健康福祉確保措置の実施状況を踏まえた指導への転換、が行われます。</w:t>
      </w:r>
    </w:p>
    <w:p>
      <w:pPr>
        <w:pBdr>
          <w:left w:val="single" w:color="999999" w:sz="12" w:space="8"/>
        </w:pBdr>
        <w:spacing w:after="40"/>
        <w:ind w:left="431"/>
      </w:pPr>
      <w:r>
        <w:rPr>
          <w:rFonts w:ascii="Yu Mincho" w:cs="Yu Mincho" w:eastAsia="Yu Mincho" w:hAnsi="Yu Mincho"/>
          <w:i w:val="false"/>
          <w:iCs w:val="false"/>
          <w:sz w:val="20"/>
          <w:szCs w:val="20"/>
        </w:rPr>
        <w:t xml:space="preserve"/>
      </w:r>
    </w:p>
    <w:p>
      <w:pPr>
        <w:pBdr>
          <w:left w:val="single" w:color="999999" w:sz="12" w:space="8"/>
        </w:pBdr>
        <w:spacing w:after="200"/>
        <w:ind w:left="431"/>
      </w:pPr>
      <w:r>
        <w:rPr>
          <w:rFonts w:ascii="Yu Mincho" w:cs="Yu Mincho" w:eastAsia="Yu Mincho" w:hAnsi="Yu Mincho"/>
          <w:i w:val="false"/>
          <w:iCs w:val="false"/>
          <w:sz w:val="20"/>
          <w:szCs w:val="20"/>
        </w:rPr>
        <w:t xml:space="preserve">貴社の36協定の内容および運用状況について、今回の見直しを踏まえた点検を実施いたしますので、改めてご連絡差し上げます。</w:t>
      </w:r>
    </w:p>
    <w:p>
      <w:pPr>
        <w:pStyle w:val="Heading1"/>
        <w:spacing w:after="160" w:before="320"/>
      </w:pPr>
      <w:r>
        <w:rPr>
          <w:rFonts w:ascii="Yu Gothic" w:cs="Yu Gothic" w:eastAsia="Yu Gothic" w:hAnsi="Yu Gothic"/>
          <w:b/>
          <w:bCs/>
        </w:rPr>
        <w:t xml:space="preserve">5. まとめ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D9D9D9" w:val="clear"/>
            <w:tcMar>
              <w:top w:type="dxa" w:w="100"/>
              <w:left w:type="dxa" w:w="120"/>
              <w:bottom w:type="dxa" w:w="100"/>
              <w:right w:type="dxa" w:w="120"/>
            </w:tcMar>
            <w:vAlign w:val="center"/>
          </w:tcPr>
          <w:p>
            <w:r>
              <w:rPr>
                <w:rFonts w:ascii="Yu Gothic" w:cs="Yu Gothic" w:eastAsia="Yu Gothic" w:hAnsi="Yu Gothic"/>
                <w:b/>
                <w:bCs/>
                <w:sz w:val="20"/>
                <w:szCs w:val="20"/>
              </w:rPr>
              <w:t xml:space="preserve">取組み</w:t>
            </w:r>
          </w:p>
        </w:tc>
        <w:tc>
          <w:tcPr>
            <w:tcW w:type="dxa" w:w="7038"/>
            <w:shd w:fill="D9D9D9" w:val="clear"/>
            <w:tcMar>
              <w:top w:type="dxa" w:w="100"/>
              <w:left w:type="dxa" w:w="120"/>
              <w:bottom w:type="dxa" w:w="100"/>
              <w:right w:type="dxa" w:w="120"/>
            </w:tcMar>
            <w:vAlign w:val="center"/>
          </w:tcPr>
          <w:p>
            <w:r>
              <w:rPr>
                <w:rFonts w:ascii="Yu Gothic" w:cs="Yu Gothic" w:eastAsia="Yu Gothic" w:hAnsi="Yu Gothic"/>
                <w:b/>
                <w:bCs/>
                <w:sz w:val="20"/>
                <w:szCs w:val="20"/>
              </w:rPr>
              <w:t xml:space="preserve">ポイント</w:t>
            </w:r>
          </w:p>
        </w:tc>
      </w:tr>
      <w:tr>
        <w:tc>
          <w:tcPr>
            <w:tcW w:type="dxa" w:w="2600"/>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専門相談窓口
（働き方改革推進支援センター）</w:t>
            </w:r>
          </w:p>
        </w:tc>
        <w:tc>
          <w:tcPr>
            <w:tcW w:type="dxa" w:w="7038"/>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36協定・特別条項・柔軟な労働時間制度の相談先として活用可能</w:t>
            </w:r>
          </w:p>
        </w:tc>
      </w:tr>
      <w:tr>
        <w:tc>
          <w:tcPr>
            <w:tcW w:type="dxa" w:w="2600"/>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アウトリーチ型訪問支援</w:t>
            </w:r>
          </w:p>
        </w:tc>
        <w:tc>
          <w:tcPr>
            <w:tcW w:type="dxa" w:w="7038"/>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労基署（労働時間相談・支援班）との連携チームによる能動的支援。監督指導とは性質が異なる点を顧問先に周知</w:t>
            </w:r>
          </w:p>
        </w:tc>
      </w:tr>
      <w:tr>
        <w:tc>
          <w:tcPr>
            <w:tcW w:type="dxa" w:w="2600"/>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支援機関連携強化</w:t>
            </w:r>
          </w:p>
        </w:tc>
        <w:tc>
          <w:tcPr>
            <w:tcW w:type="dxa" w:w="7038"/>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よろず支援拠点・商工会議所等と連携し、経営課題も含めたワンストップ相談が可能に</w:t>
            </w:r>
          </w:p>
        </w:tc>
      </w:tr>
      <w:tr>
        <w:tc>
          <w:tcPr>
            <w:tcW w:type="dxa" w:w="2600"/>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労基署の指導見直し</w:t>
            </w:r>
          </w:p>
        </w:tc>
        <w:tc>
          <w:tcPr>
            <w:tcW w:type="dxa" w:w="7038"/>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時間数のみの一律指導から、健康福祉確保措置の実施状況重視の指導へ</w:t>
            </w:r>
          </w:p>
        </w:tc>
      </w:tr>
      <w:tr>
        <w:tc>
          <w:tcPr>
            <w:tcW w:type="dxa" w:w="2600"/>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例外（継続指導）</w:t>
            </w:r>
          </w:p>
        </w:tc>
        <w:tc>
          <w:tcPr>
            <w:tcW w:type="dxa" w:w="7038"/>
            <w:tcMar>
              <w:top w:type="dxa" w:w="100"/>
              <w:left w:type="dxa" w:w="120"/>
              <w:bottom w:type="dxa" w:w="100"/>
              <w:right w:type="dxa" w:w="120"/>
            </w:tcMar>
            <w:vAlign w:val="center"/>
          </w:tcPr>
          <w:p>
            <w:r>
              <w:rPr>
                <w:rFonts w:ascii="Yu Mincho" w:cs="Yu Mincho" w:eastAsia="Yu Mincho" w:hAnsi="Yu Mincho"/>
                <w:b w:val="false"/>
                <w:bCs w:val="false"/>
                <w:sz w:val="20"/>
                <w:szCs w:val="20"/>
              </w:rPr>
              <w:t xml:space="preserve">過重労働による健康障害のおそれが高い事業場には、引き続き必要な指導を実施</w:t>
            </w:r>
          </w:p>
        </w:tc>
      </w:tr>
    </w:tbl>
    <w:p>
      <w:pPr>
        <w:spacing w:before="240"/>
      </w:pPr>
    </w:p>
    <w:p>
      <w:pPr>
        <w:spacing w:after="160"/>
      </w:pPr>
      <w:r>
        <w:rPr>
          <w:rFonts w:ascii="Yu Mincho" w:cs="Yu Mincho" w:eastAsia="Yu Mincho" w:hAnsi="Yu Mincho"/>
          <w:sz w:val="21"/>
          <w:szCs w:val="21"/>
        </w:rPr>
        <w:t xml:space="preserve">社労士としては、今回の見直しを機に、顧問先の36協定における「健康及び福祉を確保するための措置」の実効性を改めて点検し、書類上の整備にとどまらない運用支援を行うことが求められます。</w:t>
      </w:r>
    </w:p>
    <w:p>
      <w:pPr>
        <w:pBdr>
          <w:bottom w:val="single" w:color="999999" w:sz="6" w:space="1"/>
        </w:pBdr>
        <w:spacing w:after="200" w:before="200"/>
      </w:pPr>
    </w:p>
    <w:p>
      <w:pPr>
        <w:spacing w:before="120"/>
      </w:pPr>
      <w:r>
        <w:rPr>
          <w:rFonts w:ascii="Yu Mincho" w:cs="Yu Mincho" w:eastAsia="Yu Mincho" w:hAnsi="Yu Mincho"/>
          <w:color w:val="777777"/>
          <w:sz w:val="18"/>
          <w:szCs w:val="18"/>
        </w:rPr>
        <w:t xml:space="preserve">作成日：2026年8月20日</w:t>
      </w:r>
    </w:p>
    <w:p>
      <w:r>
        <w:rPr>
          <w:rFonts w:ascii="Yu Mincho" w:cs="Yu Mincho" w:eastAsia="Yu Mincho" w:hAnsi="Yu Mincho"/>
          <w:color w:val="777777"/>
          <w:sz w:val="18"/>
          <w:szCs w:val="18"/>
        </w:rPr>
        <w:t xml:space="preserve">出典：厚生労働省発表資料（本年9月1日からの働き方改革推進支援センター・労働基準監督署における取組みについて）</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2026-08-20T08:51:58.440Z</dcterms:created>
  <dcterms:modified xsi:type="dcterms:W3CDTF">2026-08-20T08:51:58.440Z</dcterms:modified>
</cp:coreProperties>
</file>

<file path=docProps/custom.xml><?xml version="1.0" encoding="utf-8"?>
<Properties xmlns="http://schemas.openxmlformats.org/officeDocument/2006/custom-properties" xmlns:vt="http://schemas.openxmlformats.org/officeDocument/2006/docPropsVTypes"/>
</file>