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2E74B5"/>
          <w:sz w:val="30"/>
        </w:rPr>
        <w:t>仕事と介護の両立支援プラン（面談シート兼用）</w:t>
      </w:r>
    </w:p>
    <w:p>
      <w:pPr>
        <w:spacing w:after="280"/>
        <w:jc w:val="center"/>
      </w:pPr>
      <w:r>
        <w:rPr>
          <w:color w:val="707070"/>
          <w:sz w:val="22"/>
        </w:rPr>
        <w:t>作成・面談実施の注意点</w:t>
      </w:r>
    </w:p>
    <w:p>
      <w:pPr>
        <w:spacing w:before="280" w:after="100"/>
        <w:jc w:val="left"/>
        <w:shd w:val="clear" w:color="auto" w:fill="2E74B5"/>
      </w:pPr>
      <w:r>
        <w:rPr>
          <w:b/>
          <w:color w:val="FFFFFF"/>
          <w:sz w:val="26"/>
        </w:rPr>
        <w:t>１．面談の実施者・回数</w:t>
      </w:r>
    </w:p>
    <w:p>
      <w:pPr>
        <w:pStyle w:val="ListBullet"/>
        <w:spacing w:after="40"/>
      </w:pPr>
      <w:r>
        <w:rPr>
          <w:b/>
          <w:sz w:val="21"/>
        </w:rPr>
        <w:t>実施者：</w:t>
      </w:r>
      <w:r>
        <w:rPr>
          <w:sz w:val="21"/>
        </w:rPr>
        <w:t>対象労働者の上司または人事労務担当者と対象労働者の組み合わせで行う</w:t>
      </w:r>
    </w:p>
    <w:p>
      <w:pPr>
        <w:pStyle w:val="ListBullet"/>
        <w:spacing w:after="40"/>
      </w:pPr>
      <w:r>
        <w:rPr>
          <w:b/>
          <w:sz w:val="21"/>
        </w:rPr>
        <w:t>回数：</w:t>
      </w:r>
      <w:r>
        <w:rPr>
          <w:sz w:val="21"/>
        </w:rPr>
        <w:t>とも1回以上実施し、結果を必ず面談シートに記録する</w:t>
      </w:r>
    </w:p>
    <w:p>
      <w:pPr>
        <w:pStyle w:val="ListBullet"/>
        <w:spacing w:after="40"/>
      </w:pPr>
      <w:r>
        <w:rPr>
          <w:b/>
          <w:sz w:val="21"/>
        </w:rPr>
        <w:t>対面困難時：</w:t>
      </w:r>
      <w:r>
        <w:rPr>
          <w:sz w:val="21"/>
        </w:rPr>
        <w:t>場合は電話・メール等による相談・調整の記録でも可</w:t>
      </w:r>
    </w:p>
    <w:p>
      <w:pPr>
        <w:spacing w:before="280" w:after="100"/>
        <w:jc w:val="left"/>
        <w:shd w:val="clear" w:color="auto" w:fill="2E74B5"/>
      </w:pPr>
      <w:r>
        <w:rPr>
          <w:b/>
          <w:color w:val="FFFFFF"/>
          <w:sz w:val="26"/>
        </w:rPr>
        <w:t>２．作成タイミング（最重要）</w:t>
      </w:r>
    </w:p>
    <w:tbl>
      <w:tblPr>
        <w:tblStyle w:val="TableGrid"/>
        <w:tblW w:type="auto" w:w="0"/>
        <w:tblLook w:firstColumn="1" w:firstRow="1" w:lastColumn="0" w:lastRow="0" w:noHBand="0" w:noVBand="1" w:val="04A0"/>
      </w:tblPr>
      <w:tblGrid>
        <w:gridCol w:w="2351"/>
        <w:gridCol w:w="2351"/>
        <w:gridCol w:w="2351"/>
        <w:gridCol w:w="2351"/>
      </w:tblGrid>
      <w:tr>
        <w:tc>
          <w:tcPr>
            <w:tcW w:type="dxa" w:w="1587"/>
            <w:shd w:val="clear" w:color="auto" w:fill="2E74B5"/>
          </w:tcPr>
          <w:p>
            <w:r>
              <w:rPr>
                <w:b/>
                <w:color w:val="FFFFFF"/>
                <w:sz w:val="20"/>
              </w:rPr>
              <w:t>種別</w:t>
            </w:r>
          </w:p>
        </w:tc>
        <w:tc>
          <w:tcPr>
            <w:tcW w:type="dxa" w:w="1984"/>
            <w:shd w:val="clear" w:color="auto" w:fill="2E74B5"/>
          </w:tcPr>
          <w:p>
            <w:r>
              <w:rPr>
                <w:b/>
                <w:color w:val="FFFFFF"/>
                <w:sz w:val="20"/>
              </w:rPr>
              <w:t>原則</w:t>
            </w:r>
          </w:p>
        </w:tc>
        <w:tc>
          <w:tcPr>
            <w:tcW w:type="dxa" w:w="2268"/>
            <w:shd w:val="clear" w:color="auto" w:fill="2E74B5"/>
          </w:tcPr>
          <w:p>
            <w:r>
              <w:rPr>
                <w:b/>
                <w:color w:val="FFFFFF"/>
                <w:sz w:val="20"/>
              </w:rPr>
              <w:t>例外（可）</w:t>
            </w:r>
          </w:p>
        </w:tc>
        <w:tc>
          <w:tcPr>
            <w:tcW w:type="dxa" w:w="2948"/>
            <w:shd w:val="clear" w:color="auto" w:fill="2E74B5"/>
          </w:tcPr>
          <w:p>
            <w:r>
              <w:rPr>
                <w:b/>
                <w:color w:val="FFFFFF"/>
                <w:sz w:val="20"/>
              </w:rPr>
              <w:t>不支給になるケース</w:t>
            </w:r>
          </w:p>
        </w:tc>
      </w:tr>
      <w:tr>
        <w:tc>
          <w:tcPr>
            <w:tcW w:type="dxa" w:w="1587"/>
            <w:shd w:val="clear" w:color="auto" w:fill="DEEAF1"/>
          </w:tcPr>
          <w:p>
            <w:r>
              <w:rPr>
                <w:sz w:val="20"/>
              </w:rPr>
              <w:t>介護休業</w:t>
            </w:r>
          </w:p>
        </w:tc>
        <w:tc>
          <w:tcPr>
            <w:tcW w:type="dxa" w:w="1984"/>
            <w:shd w:val="clear" w:color="auto" w:fill="DEEAF1"/>
          </w:tcPr>
          <w:p>
            <w:r>
              <w:rPr>
                <w:sz w:val="20"/>
              </w:rPr>
              <w:t>休業開始前に作成</w:t>
            </w:r>
          </w:p>
        </w:tc>
        <w:tc>
          <w:tcPr>
            <w:tcW w:type="dxa" w:w="2268"/>
            <w:shd w:val="clear" w:color="auto" w:fill="DEEAF1"/>
          </w:tcPr>
          <w:p>
            <w:r>
              <w:rPr>
                <w:sz w:val="20"/>
              </w:rPr>
              <w:t>休業期間中の作成も可</w:t>
            </w:r>
          </w:p>
        </w:tc>
        <w:tc>
          <w:tcPr>
            <w:tcW w:type="dxa" w:w="2948"/>
            <w:shd w:val="clear" w:color="auto" w:fill="DEEAF1"/>
          </w:tcPr>
          <w:p>
            <w:r>
              <w:rPr>
                <w:color w:val="C00000"/>
                <w:sz w:val="20"/>
              </w:rPr>
              <w:t>休業終了後にプラン作成・面談を行った場合</w:t>
            </w:r>
          </w:p>
        </w:tc>
      </w:tr>
      <w:tr>
        <w:tc>
          <w:tcPr>
            <w:tcW w:type="dxa" w:w="1587"/>
          </w:tcPr>
          <w:p>
            <w:r>
              <w:rPr>
                <w:sz w:val="20"/>
              </w:rPr>
              <w:t>介護両立支援制度</w:t>
            </w:r>
          </w:p>
        </w:tc>
        <w:tc>
          <w:tcPr>
            <w:tcW w:type="dxa" w:w="1984"/>
          </w:tcPr>
          <w:p>
            <w:r>
              <w:rPr>
                <w:sz w:val="20"/>
              </w:rPr>
              <w:t>制度利用開始前日までに作成</w:t>
            </w:r>
          </w:p>
        </w:tc>
        <w:tc>
          <w:tcPr>
            <w:tcW w:type="dxa" w:w="2268"/>
          </w:tcPr>
          <w:p>
            <w:r>
              <w:rPr>
                <w:sz w:val="20"/>
              </w:rPr>
              <w:t>制度利用期間中の作成も可</w:t>
            </w:r>
          </w:p>
        </w:tc>
        <w:tc>
          <w:tcPr>
            <w:tcW w:type="dxa" w:w="2948"/>
          </w:tcPr>
          <w:p>
            <w:r>
              <w:rPr>
                <w:color w:val="C00000"/>
                <w:sz w:val="20"/>
              </w:rPr>
              <w:t>制度利用終了後にプラン作成・面談を行った場合</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FFF2CC"/>
          </w:tcPr>
          <w:p>
            <w:r>
              <w:rPr>
                <w:sz w:val="20"/>
              </w:rPr>
              <w:t>⚠ プランの作成や面談が休業・制度利用の「終了後」になった場合は一切支給対象外となるため注意。</w:t>
            </w:r>
          </w:p>
        </w:tc>
      </w:tr>
    </w:tbl>
    <w:p>
      <w:pPr>
        <w:spacing w:after="40"/>
      </w:pPr>
    </w:p>
    <w:p>
      <w:pPr>
        <w:spacing w:after="40"/>
      </w:pPr>
    </w:p>
    <w:p>
      <w:pPr>
        <w:spacing w:before="280" w:after="100"/>
        <w:jc w:val="left"/>
        <w:shd w:val="clear" w:color="auto" w:fill="2E74B5"/>
      </w:pPr>
      <w:r>
        <w:rPr>
          <w:b/>
          <w:color w:val="FFFFFF"/>
          <w:sz w:val="26"/>
        </w:rPr>
        <w:t>３．プランに記載すべき内容</w:t>
      </w:r>
    </w:p>
    <w:p>
      <w:pPr>
        <w:pStyle w:val="ListBullet"/>
        <w:spacing w:after="40"/>
      </w:pPr>
      <w:r>
        <w:rPr>
          <w:sz w:val="21"/>
        </w:rPr>
        <w:t>【介護休業の場合】対象労働者の業務の整理・引き継ぎに関する措置を少なくとも記載する</w:t>
      </w:r>
    </w:p>
    <w:p>
      <w:pPr>
        <w:pStyle w:val="ListBullet"/>
        <w:spacing w:after="40"/>
      </w:pPr>
      <w:r>
        <w:rPr>
          <w:sz w:val="21"/>
        </w:rPr>
        <w:t>【介護両立支援制度の場合】制度利用期間中の業務体制の検討に関する取組を記載する</w:t>
      </w:r>
    </w:p>
    <w:p>
      <w:pPr>
        <w:pStyle w:val="ListBullet"/>
        <w:spacing w:after="40"/>
      </w:pPr>
      <w:r>
        <w:rPr>
          <w:sz w:val="21"/>
        </w:rPr>
        <w:t>プランに基づく業務の整理・引き継ぎが行われないまま休業が終了した場合は支給対象外</w:t>
      </w:r>
    </w:p>
    <w:p>
      <w:pPr>
        <w:pStyle w:val="ListBullet"/>
        <w:spacing w:after="40"/>
      </w:pPr>
      <w:r>
        <w:rPr>
          <w:sz w:val="21"/>
        </w:rPr>
        <w:t>引き継ぎが困難な場合は電話・メール・書面による引き継ぎでも可（対面不要）</w:t>
      </w:r>
    </w:p>
    <w:p>
      <w:pPr>
        <w:spacing w:before="280" w:after="100"/>
        <w:jc w:val="left"/>
        <w:shd w:val="clear" w:color="auto" w:fill="2E74B5"/>
      </w:pPr>
      <w:r>
        <w:rPr>
          <w:b/>
          <w:color w:val="FFFFFF"/>
          <w:sz w:val="26"/>
        </w:rPr>
        <w:t>４．フォロー面談（介護休業のみ）</w:t>
      </w:r>
    </w:p>
    <w:p>
      <w:pPr>
        <w:pStyle w:val="ListBullet"/>
        <w:spacing w:after="40"/>
      </w:pPr>
      <w:r>
        <w:rPr>
          <w:sz w:val="21"/>
        </w:rPr>
        <w:t>介護休業終了後に上司または人事労務担当者とフォロー面談を実施し、結果を面談シートに記録する</w:t>
      </w:r>
    </w:p>
    <w:p>
      <w:pPr>
        <w:pStyle w:val="ListBullet"/>
        <w:spacing w:after="40"/>
      </w:pPr>
      <w:r>
        <w:rPr>
          <w:sz w:val="21"/>
        </w:rPr>
        <w:t>原職等に復帰させることが原則。ただし労働者本人の希望により原職等以外で復帰する場合は、希望が面談記録等で確認できることが必要</w:t>
      </w:r>
    </w:p>
    <w:p>
      <w:pPr>
        <w:pStyle w:val="ListBullet"/>
        <w:spacing w:after="40"/>
      </w:pPr>
      <w:r>
        <w:rPr>
          <w:sz w:val="21"/>
        </w:rPr>
        <w:t>無期雇用労働者が介護休業後に有期雇用契約を締結している場合は対象外（本人希望でも不可）</w:t>
      </w:r>
    </w:p>
    <w:p>
      <w:pPr>
        <w:spacing w:before="280" w:after="100"/>
        <w:jc w:val="left"/>
        <w:shd w:val="clear" w:color="auto" w:fill="2E74B5"/>
      </w:pPr>
      <w:r>
        <w:rPr>
          <w:b/>
          <w:color w:val="FFFFFF"/>
          <w:sz w:val="26"/>
        </w:rPr>
        <w:t>５．複数制度・複数回利用時の注意</w:t>
      </w:r>
    </w:p>
    <w:p>
      <w:pPr>
        <w:pStyle w:val="ListBullet"/>
        <w:spacing w:after="40"/>
      </w:pPr>
      <w:r>
        <w:rPr>
          <w:sz w:val="21"/>
        </w:rPr>
        <w:t>同一対象家族について異なる複数の介護両立支援制度を利用する場合は、制度ごとに新たに面談を実施しプランを作成する</w:t>
      </w:r>
    </w:p>
    <w:p>
      <w:pPr>
        <w:pStyle w:val="ListBullet"/>
        <w:spacing w:after="40"/>
      </w:pPr>
      <w:r>
        <w:rPr>
          <w:sz w:val="21"/>
        </w:rPr>
        <w:t>制度利用開始後に当初予定していなかった別の制度を利用することになった場合も、面談シートに利用した全制度と利用期間が確認できることが必要</w:t>
      </w:r>
    </w:p>
    <w:p>
      <w:pPr>
        <w:pStyle w:val="ListBullet"/>
        <w:spacing w:after="40"/>
      </w:pPr>
      <w:r>
        <w:rPr>
          <w:sz w:val="21"/>
        </w:rPr>
        <w:t>同一労働者・同一対象家族への支給は合計2回まで（3種類目の制度利用は対象外）</w:t>
      </w:r>
    </w:p>
    <w:p>
      <w:pPr>
        <w:pStyle w:val="ListBullet"/>
        <w:spacing w:after="40"/>
      </w:pPr>
      <w:r>
        <w:rPr>
          <w:sz w:val="21"/>
        </w:rPr>
        <w:t>介護休業取得後に同一対象家族について両立支援制度を利用する場合も、新たに面談を実施しプランを作成する必要がある</w:t>
      </w:r>
    </w:p>
    <w:tbl>
      <w:tblPr>
        <w:tblStyle w:val="TableGrid"/>
        <w:tblW w:type="auto" w:w="0"/>
        <w:tblLook w:firstColumn="1" w:firstRow="1" w:lastColumn="0" w:lastRow="0" w:noHBand="0" w:noVBand="1" w:val="04A0"/>
      </w:tblPr>
      <w:tblGrid>
        <w:gridCol w:w="4703"/>
        <w:gridCol w:w="4703"/>
      </w:tblGrid>
      <w:tr>
        <w:tc>
          <w:tcPr>
            <w:tcW w:type="dxa" w:w="4703"/>
            <w:shd w:val="clear" w:color="auto" w:fill="2E74B5"/>
          </w:tcPr>
          <w:p>
            <w:r>
              <w:rPr>
                <w:b/>
                <w:color w:val="FFFFFF"/>
                <w:sz w:val="20"/>
              </w:rPr>
              <w:t>ケース</w:t>
            </w:r>
          </w:p>
        </w:tc>
        <w:tc>
          <w:tcPr>
            <w:tcW w:type="dxa" w:w="4703"/>
            <w:shd w:val="clear" w:color="auto" w:fill="2E74B5"/>
          </w:tcPr>
          <w:p>
            <w:r>
              <w:rPr>
                <w:b/>
                <w:color w:val="FFFFFF"/>
                <w:sz w:val="20"/>
              </w:rPr>
              <w:t>対応</w:t>
            </w:r>
          </w:p>
        </w:tc>
      </w:tr>
      <w:tr>
        <w:tc>
          <w:tcPr>
            <w:tcW w:type="dxa" w:w="4703"/>
            <w:shd w:val="clear" w:color="auto" w:fill="DEEAF1"/>
          </w:tcPr>
          <w:p>
            <w:r>
              <w:rPr>
                <w:sz w:val="20"/>
              </w:rPr>
              <w:t>同一対象家族について制度Aを利用後、同一制度Aを再利用</w:t>
            </w:r>
          </w:p>
        </w:tc>
        <w:tc>
          <w:tcPr>
            <w:tcW w:type="dxa" w:w="4703"/>
            <w:shd w:val="clear" w:color="auto" w:fill="DEEAF1"/>
          </w:tcPr>
          <w:p>
            <w:r>
              <w:rPr>
                <w:sz w:val="20"/>
              </w:rPr>
              <w:t>対象外（同一制度は1回限り）</w:t>
            </w:r>
          </w:p>
        </w:tc>
      </w:tr>
      <w:tr>
        <w:tc>
          <w:tcPr>
            <w:tcW w:type="dxa" w:w="4703"/>
          </w:tcPr>
          <w:p>
            <w:r>
              <w:rPr>
                <w:sz w:val="20"/>
              </w:rPr>
              <w:t>同一対象家族について制度Aを利用後、別の制度Bを利用</w:t>
            </w:r>
          </w:p>
        </w:tc>
        <w:tc>
          <w:tcPr>
            <w:tcW w:type="dxa" w:w="4703"/>
          </w:tcPr>
          <w:p>
            <w:r>
              <w:rPr>
                <w:sz w:val="20"/>
              </w:rPr>
              <w:t>A・B それぞれ対象（合計2回まで）。制度Bについて新たに面談・プラン作成が必要</w:t>
            </w:r>
          </w:p>
        </w:tc>
      </w:tr>
    </w:tbl>
    <w:p>
      <w:pPr>
        <w:spacing w:after="40"/>
      </w:pPr>
    </w:p>
    <w:p>
      <w:pPr>
        <w:spacing w:before="280" w:after="100"/>
        <w:jc w:val="left"/>
        <w:shd w:val="clear" w:color="auto" w:fill="2E74B5"/>
      </w:pPr>
      <w:r>
        <w:rPr>
          <w:b/>
          <w:color w:val="FFFFFF"/>
          <w:sz w:val="26"/>
        </w:rPr>
        <w:t>６．休業期間・制度利用期間が変更になった場合</w:t>
      </w:r>
    </w:p>
    <w:p>
      <w:pPr>
        <w:pStyle w:val="ListBullet"/>
        <w:spacing w:after="40"/>
      </w:pPr>
      <w:r>
        <w:rPr>
          <w:sz w:val="21"/>
        </w:rPr>
        <w:t>介護休業期間変更届の提出だけでは不足。変更後の期間についてプランへの記載（更新）も必要</w:t>
      </w:r>
    </w:p>
    <w:p>
      <w:pPr>
        <w:pStyle w:val="ListBullet"/>
        <w:spacing w:after="40"/>
      </w:pPr>
      <w:r>
        <w:rPr>
          <w:sz w:val="21"/>
        </w:rPr>
        <w:t>介護の状況により当初のプランから変更が生じた場合は、事業主・労働者双方のためにプライ自体を更新することが求められる</w:t>
      </w:r>
    </w:p>
    <w:p>
      <w:pPr>
        <w:spacing w:before="280" w:after="100"/>
        <w:jc w:val="left"/>
        <w:shd w:val="clear" w:color="auto" w:fill="2E74B5"/>
      </w:pPr>
      <w:r>
        <w:rPr>
          <w:b/>
          <w:color w:val="FFFFFF"/>
          <w:sz w:val="26"/>
        </w:rPr>
        <w:t>７．全労働者への方針周知（プラン前提条件）</w:t>
      </w:r>
    </w:p>
    <w:p>
      <w:pPr>
        <w:pStyle w:val="ListBullet"/>
        <w:spacing w:after="40"/>
      </w:pPr>
      <w:r>
        <w:rPr>
          <w:sz w:val="21"/>
        </w:rPr>
        <w:t>介護休業取得・職場復帰・制度利用を支援する方針を全労働者へ事前周知すること</w:t>
      </w:r>
    </w:p>
    <w:p>
      <w:pPr>
        <w:pStyle w:val="ListBullet"/>
        <w:spacing w:after="40"/>
      </w:pPr>
      <w:r>
        <w:rPr>
          <w:sz w:val="21"/>
        </w:rPr>
        <w:t>周知期限は休業開始日または制度利用開始日の前日まで（休業・制度利用と同時並行での実施も可）</w:t>
      </w:r>
    </w:p>
    <w:p>
      <w:pPr>
        <w:pStyle w:val="ListBullet"/>
        <w:spacing w:after="40"/>
      </w:pPr>
      <w:r>
        <w:rPr>
          <w:sz w:val="21"/>
        </w:rPr>
        <w:t>周知が終了後になった場合は支給対象外</w:t>
      </w:r>
    </w:p>
    <w:p>
      <w:pPr>
        <w:pStyle w:val="ListBullet"/>
        <w:spacing w:after="40"/>
      </w:pPr>
      <w:r>
        <w:rPr>
          <w:sz w:val="21"/>
        </w:rPr>
        <w:t>周知方法：労働協約・就業規則への規定、または方針を明文化した文書・社内報・イントラネット等</w:t>
      </w:r>
    </w:p>
    <w:p/>
    <w:p>
      <w:r>
        <w:rPr>
          <w:i/>
          <w:color w:val="707070"/>
          <w:sz w:val="18"/>
        </w:rPr>
        <w:t>※ 本資料は令和8年4月8日改正版の支給要領に基づき作成しています。最新情報は管轄労働局または厚生労働省ウェブサイトでご確認ください。</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