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shd w:val="clear" w:color="auto" w:fill="2E8B8B"/>
      </w:pPr>
      <w:r>
        <w:rPr>
          <w:rFonts w:ascii="MS Gothic" w:hAnsi="MS Gothic"/>
          <w:b/>
          <w:color w:val="FFFFFF"/>
          <w:sz w:val="28"/>
        </w:rPr>
        <w:t>【社労士向けメルマガ】令和8年度 業務改善助成金 完全解説【後編】</w:t>
      </w:r>
    </w:p>
    <w:p>
      <w:pPr>
        <w:spacing w:before="40" w:after="160"/>
        <w:jc w:val="center"/>
        <w:shd w:val="clear" w:color="auto" w:fill="2E8B8B"/>
      </w:pPr>
      <w:r>
        <w:rPr>
          <w:rFonts w:ascii="MS Gothic" w:hAnsi="MS Gothic"/>
          <w:b/>
          <w:color w:val="FFFFFF"/>
          <w:sz w:val="22"/>
        </w:rPr>
        <w:t>〜対象経費・申請の流れ・実務注意点・計画書の書き方〜</w:t>
      </w:r>
    </w:p>
    <w:p>
      <w:pPr>
        <w:spacing w:after="80"/>
      </w:pPr>
      <w:r>
        <w:rPr>
          <w:rFonts w:ascii="MS Gothic" w:hAnsi="MS Gothic"/>
          <w:b w:val="0"/>
          <w:sz w:val="21"/>
        </w:rPr>
        <w:t>中編に続き、後編では対象経費の詳細・申請フロー・実務上の注意点・事業実施計画書の書き方を解説します。顧客支援の実務に直接活用できる内容です。</w:t>
      </w:r>
    </w:p>
    <w:p>
      <w:pPr>
        <w:spacing w:after="40"/>
      </w:pPr>
    </w:p>
    <w:p>
      <w:pPr>
        <w:shd w:val="clear" w:color="auto" w:fill="2E8B8B"/>
        <w:spacing w:before="200" w:after="80"/>
      </w:pPr>
      <w:r>
        <w:rPr>
          <w:rFonts w:ascii="MS Gothic" w:hAnsi="MS Gothic"/>
          <w:b/>
          <w:color w:val="FFFFFF"/>
          <w:sz w:val="24"/>
        </w:rPr>
        <w:t>7. 対象経費・対象外経費</w:t>
      </w:r>
    </w:p>
    <w:p>
      <w:pPr>
        <w:spacing w:before="160" w:after="60"/>
      </w:pPr>
      <w:r>
        <w:rPr>
          <w:rFonts w:ascii="MS Gothic" w:hAnsi="MS Gothic"/>
          <w:b/>
          <w:color w:val="2E8B8B"/>
          <w:sz w:val="22"/>
        </w:rPr>
        <w:t>7-1. 対象となる経費</w:t>
      </w:r>
    </w:p>
    <w:p>
      <w:pPr>
        <w:spacing w:after="40"/>
        <w:ind w:left="280"/>
      </w:pPr>
      <w:r>
        <w:rPr>
          <w:rFonts w:ascii="MS Gothic" w:hAnsi="MS Gothic"/>
          <w:b w:val="0"/>
          <w:sz w:val="21"/>
        </w:rPr>
        <w:t>・機械装置等購入費</w:t>
      </w:r>
    </w:p>
    <w:p>
      <w:pPr>
        <w:spacing w:after="40"/>
        <w:ind w:left="280"/>
      </w:pPr>
      <w:r>
        <w:rPr>
          <w:rFonts w:ascii="MS Gothic" w:hAnsi="MS Gothic"/>
          <w:b w:val="0"/>
          <w:sz w:val="21"/>
        </w:rPr>
        <w:t>・生産性向上に資する器具備品等の購入費</w:t>
      </w:r>
    </w:p>
    <w:p>
      <w:pPr>
        <w:spacing w:after="40"/>
        <w:ind w:left="280"/>
      </w:pPr>
      <w:r>
        <w:rPr>
          <w:rFonts w:ascii="MS Gothic" w:hAnsi="MS Gothic"/>
          <w:b w:val="0"/>
          <w:sz w:val="21"/>
        </w:rPr>
        <w:t>・情報システム等の開発・導入委託費</w:t>
      </w:r>
    </w:p>
    <w:p>
      <w:pPr>
        <w:spacing w:after="40"/>
        <w:ind w:left="280"/>
      </w:pPr>
      <w:r>
        <w:rPr>
          <w:rFonts w:ascii="MS Gothic" w:hAnsi="MS Gothic"/>
          <w:b w:val="0"/>
          <w:sz w:val="21"/>
        </w:rPr>
        <w:t>・業務フロー見直し等に関する経営コンサルティング経費</w:t>
      </w:r>
    </w:p>
    <w:p>
      <w:pPr>
        <w:spacing w:after="40"/>
        <w:ind w:left="280"/>
      </w:pPr>
      <w:r>
        <w:rPr>
          <w:rFonts w:ascii="MS Gothic" w:hAnsi="MS Gothic"/>
          <w:b w:val="0"/>
          <w:sz w:val="21"/>
        </w:rPr>
        <w:t>・外部講師による操作研修等の謝金・旅費</w:t>
      </w:r>
    </w:p>
    <w:p>
      <w:pPr>
        <w:spacing w:after="40"/>
        <w:ind w:left="280"/>
      </w:pPr>
      <w:r>
        <w:rPr>
          <w:rFonts w:ascii="MS Gothic" w:hAnsi="MS Gothic"/>
          <w:b w:val="0"/>
          <w:sz w:val="21"/>
        </w:rPr>
        <w:t>・導入機器のマニュアル作成費用</w:t>
      </w:r>
    </w:p>
    <w:p>
      <w:pPr>
        <w:spacing w:after="40"/>
        <w:ind w:left="280"/>
      </w:pPr>
      <w:r>
        <w:rPr>
          <w:rFonts w:ascii="MS Gothic" w:hAnsi="MS Gothic"/>
          <w:b w:val="0"/>
          <w:sz w:val="21"/>
        </w:rPr>
        <w:t>・機械装置の据付費用</w:t>
      </w:r>
    </w:p>
    <w:p>
      <w:pPr>
        <w:spacing w:after="40"/>
        <w:ind w:left="280"/>
      </w:pPr>
      <w:r>
        <w:rPr>
          <w:rFonts w:ascii="MS Gothic" w:hAnsi="MS Gothic"/>
          <w:b w:val="0"/>
          <w:sz w:val="21"/>
        </w:rPr>
        <w:t>・器具機械の借料</w:t>
      </w:r>
    </w:p>
    <w:p>
      <w:pPr>
        <w:spacing w:after="40"/>
      </w:pPr>
    </w:p>
    <w:p>
      <w:pPr>
        <w:spacing w:before="160" w:after="60"/>
      </w:pPr>
      <w:r>
        <w:rPr>
          <w:rFonts w:ascii="MS Gothic" w:hAnsi="MS Gothic"/>
          <w:b/>
          <w:color w:val="2E8B8B"/>
          <w:sz w:val="22"/>
        </w:rPr>
        <w:t>7-2. 対象外となる経費</w:t>
      </w:r>
    </w:p>
    <w:p>
      <w:pPr>
        <w:spacing w:after="40"/>
        <w:ind w:left="280"/>
      </w:pPr>
      <w:r>
        <w:rPr>
          <w:rFonts w:ascii="MS Gothic" w:hAnsi="MS Gothic"/>
          <w:b w:val="0"/>
          <w:sz w:val="21"/>
        </w:rPr>
        <w:t>・PC・タブレット・スマートフォン等の汎用端末（特例事業者を除く）</w:t>
      </w:r>
    </w:p>
    <w:p>
      <w:pPr>
        <w:spacing w:after="40"/>
        <w:ind w:left="280"/>
      </w:pPr>
      <w:r>
        <w:rPr>
          <w:rFonts w:ascii="MS Gothic" w:hAnsi="MS Gothic"/>
          <w:b w:val="0"/>
          <w:sz w:val="21"/>
        </w:rPr>
        <w:t>・特殊用途自動車を除く自動車</w:t>
      </w:r>
    </w:p>
    <w:p>
      <w:pPr>
        <w:spacing w:after="40"/>
        <w:ind w:left="280"/>
      </w:pPr>
      <w:r>
        <w:rPr>
          <w:rFonts w:ascii="MS Gothic" w:hAnsi="MS Gothic"/>
          <w:b w:val="0"/>
          <w:sz w:val="21"/>
        </w:rPr>
        <w:t>・広告宣伝費・消耗品費・交際費・通信費</w:t>
      </w:r>
    </w:p>
    <w:p>
      <w:pPr>
        <w:spacing w:after="40"/>
        <w:ind w:left="280"/>
      </w:pPr>
      <w:r>
        <w:rPr>
          <w:rFonts w:ascii="MS Gothic" w:hAnsi="MS Gothic"/>
          <w:b w:val="0"/>
          <w:sz w:val="21"/>
        </w:rPr>
        <w:t>・事務所借料・光熱費</w:t>
      </w:r>
    </w:p>
    <w:p>
      <w:pPr>
        <w:spacing w:after="40"/>
        <w:ind w:left="280"/>
      </w:pPr>
      <w:r>
        <w:rPr>
          <w:rFonts w:ascii="MS Gothic" w:hAnsi="MS Gothic"/>
          <w:b w:val="0"/>
          <w:sz w:val="21"/>
        </w:rPr>
        <w:t>・LED電球への交換・通信プランの変更</w:t>
      </w:r>
    </w:p>
    <w:p>
      <w:pPr>
        <w:spacing w:after="40"/>
        <w:ind w:left="280"/>
      </w:pPr>
      <w:r>
        <w:rPr>
          <w:rFonts w:ascii="MS Gothic" w:hAnsi="MS Gothic"/>
          <w:b w:val="0"/>
          <w:sz w:val="21"/>
        </w:rPr>
        <w:t>・職場環境改善のみを目的とした改築費・備品</w:t>
      </w:r>
    </w:p>
    <w:p>
      <w:pPr>
        <w:spacing w:after="40"/>
        <w:ind w:left="280"/>
      </w:pPr>
      <w:r>
        <w:rPr>
          <w:rFonts w:ascii="MS Gothic" w:hAnsi="MS Gothic"/>
          <w:b w:val="0"/>
          <w:sz w:val="21"/>
        </w:rPr>
        <w:t>・人員削減または労働条件引き下げを目的とした経営コンサルティング</w:t>
      </w:r>
    </w:p>
    <w:p>
      <w:pPr>
        <w:shd w:val="clear" w:color="auto" w:fill="E8F5F5"/>
        <w:spacing w:before="80" w:after="120"/>
        <w:ind w:left="200" w:right="200"/>
      </w:pPr>
      <w:r>
        <w:rPr>
          <w:rFonts w:ascii="MS Gothic" w:hAnsi="MS Gothic"/>
          <w:b w:val="0"/>
          <w:sz w:val="21"/>
        </w:rPr>
        <w:t>★ 物価高騰等要件を満たす特例事業者については、一定の範囲で対象経費が拡大される場合があります。最新の交付要綱・要領で必ず確認してください。</w:t>
      </w:r>
    </w:p>
    <w:p>
      <w:pPr>
        <w:spacing w:after="40"/>
      </w:pPr>
    </w:p>
    <w:p>
      <w:pPr>
        <w:shd w:val="clear" w:color="auto" w:fill="2E8B8B"/>
        <w:spacing w:before="200" w:after="80"/>
      </w:pPr>
      <w:r>
        <w:rPr>
          <w:rFonts w:ascii="MS Gothic" w:hAnsi="MS Gothic"/>
          <w:b/>
          <w:color w:val="FFFFFF"/>
          <w:sz w:val="24"/>
        </w:rPr>
        <w:t>8. 申請から支給までの流れ</w:t>
      </w: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ステップ</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内容・ポイント</w:t>
            </w:r>
          </w:p>
        </w:tc>
      </w:tr>
      <w:tr>
        <w:tc>
          <w:tcPr>
            <w:tcW w:type="dxa" w:w="4703"/>
            <w:tcBorders>
              <w:top w:val="single" w:sz="4" w:space="0" w:color="AAAAAA"/>
              <w:left w:val="single" w:sz="4" w:space="0" w:color="AAAAAA"/>
              <w:bottom w:val="single" w:sz="4" w:space="0" w:color="AAAAAA"/>
              <w:right w:val="single" w:sz="4" w:space="0" w:color="AAAAAA"/>
            </w:tcBorders>
          </w:tcPr>
          <w:p>
            <w:r>
              <w:t>①交付申請</w:t>
            </w:r>
          </w:p>
        </w:tc>
        <w:tc>
          <w:tcPr>
            <w:tcW w:type="dxa" w:w="4703"/>
            <w:tcBorders>
              <w:top w:val="single" w:sz="4" w:space="0" w:color="AAAAAA"/>
              <w:left w:val="single" w:sz="4" w:space="0" w:color="AAAAAA"/>
              <w:bottom w:val="single" w:sz="4" w:space="0" w:color="AAAAAA"/>
              <w:right w:val="single" w:sz="4" w:space="0" w:color="AAAAAA"/>
            </w:tcBorders>
          </w:tcPr>
          <w:p>
            <w:r>
              <w:t>申請書・事業実施計画書等を都道府県労働局に提出。審査後、交付決定通知が届く（約3か月程度）</w:t>
            </w:r>
          </w:p>
        </w:tc>
      </w:tr>
      <w:tr>
        <w:tc>
          <w:tcPr>
            <w:tcW w:type="dxa" w:w="4703"/>
            <w:tcBorders>
              <w:top w:val="single" w:sz="4" w:space="0" w:color="AAAAAA"/>
              <w:left w:val="single" w:sz="4" w:space="0" w:color="AAAAAA"/>
              <w:bottom w:val="single" w:sz="4" w:space="0" w:color="AAAAAA"/>
              <w:right w:val="single" w:sz="4" w:space="0" w:color="AAAAAA"/>
            </w:tcBorders>
          </w:tcPr>
          <w:p>
            <w:r>
              <w:t>②事業の実施</w:t>
            </w:r>
          </w:p>
        </w:tc>
        <w:tc>
          <w:tcPr>
            <w:tcW w:type="dxa" w:w="4703"/>
            <w:tcBorders>
              <w:top w:val="single" w:sz="4" w:space="0" w:color="AAAAAA"/>
              <w:left w:val="single" w:sz="4" w:space="0" w:color="AAAAAA"/>
              <w:bottom w:val="single" w:sz="4" w:space="0" w:color="AAAAAA"/>
              <w:right w:val="single" w:sz="4" w:space="0" w:color="AAAAAA"/>
            </w:tcBorders>
          </w:tcPr>
          <w:p>
            <w:r>
              <w:t>交付決定後に設備導入・賃上げを実施。代金の支払いまで期限内に完了させること</w:t>
            </w:r>
          </w:p>
        </w:tc>
      </w:tr>
      <w:tr>
        <w:tc>
          <w:tcPr>
            <w:tcW w:type="dxa" w:w="4703"/>
            <w:tcBorders>
              <w:top w:val="single" w:sz="4" w:space="0" w:color="AAAAAA"/>
              <w:left w:val="single" w:sz="4" w:space="0" w:color="AAAAAA"/>
              <w:bottom w:val="single" w:sz="4" w:space="0" w:color="AAAAAA"/>
              <w:right w:val="single" w:sz="4" w:space="0" w:color="AAAAAA"/>
            </w:tcBorders>
          </w:tcPr>
          <w:p>
            <w:r>
              <w:t>③事業実績報告</w:t>
            </w:r>
          </w:p>
        </w:tc>
        <w:tc>
          <w:tcPr>
            <w:tcW w:type="dxa" w:w="4703"/>
            <w:tcBorders>
              <w:top w:val="single" w:sz="4" w:space="0" w:color="AAAAAA"/>
              <w:left w:val="single" w:sz="4" w:space="0" w:color="AAAAAA"/>
              <w:bottom w:val="single" w:sz="4" w:space="0" w:color="AAAAAA"/>
              <w:right w:val="single" w:sz="4" w:space="0" w:color="AAAAAA"/>
            </w:tcBorders>
          </w:tcPr>
          <w:p>
            <w:r>
              <w:t>完了後1か月以内または翌年度4月10日の早い日までに実績報告書・支給申請書を提出</w:t>
            </w:r>
          </w:p>
        </w:tc>
      </w:tr>
      <w:tr>
        <w:tc>
          <w:tcPr>
            <w:tcW w:type="dxa" w:w="4703"/>
            <w:tcBorders>
              <w:top w:val="single" w:sz="4" w:space="0" w:color="AAAAAA"/>
              <w:left w:val="single" w:sz="4" w:space="0" w:color="AAAAAA"/>
              <w:bottom w:val="single" w:sz="4" w:space="0" w:color="AAAAAA"/>
              <w:right w:val="single" w:sz="4" w:space="0" w:color="AAAAAA"/>
            </w:tcBorders>
          </w:tcPr>
          <w:p>
            <w:r>
              <w:t>④助成金の受領</w:t>
            </w:r>
          </w:p>
        </w:tc>
        <w:tc>
          <w:tcPr>
            <w:tcW w:type="dxa" w:w="4703"/>
            <w:tcBorders>
              <w:top w:val="single" w:sz="4" w:space="0" w:color="AAAAAA"/>
              <w:left w:val="single" w:sz="4" w:space="0" w:color="AAAAAA"/>
              <w:bottom w:val="single" w:sz="4" w:space="0" w:color="AAAAAA"/>
              <w:right w:val="single" w:sz="4" w:space="0" w:color="AAAAAA"/>
            </w:tcBorders>
          </w:tcPr>
          <w:p>
            <w:r>
              <w:t>審査通過後、支給決定通知が届き指定口座に振り込まれる</w:t>
            </w:r>
          </w:p>
        </w:tc>
      </w:tr>
      <w:tr>
        <w:tc>
          <w:tcPr>
            <w:tcW w:type="dxa" w:w="4703"/>
            <w:tcBorders>
              <w:top w:val="single" w:sz="4" w:space="0" w:color="AAAAAA"/>
              <w:left w:val="single" w:sz="4" w:space="0" w:color="AAAAAA"/>
              <w:bottom w:val="single" w:sz="4" w:space="0" w:color="AAAAAA"/>
              <w:right w:val="single" w:sz="4" w:space="0" w:color="AAAAAA"/>
            </w:tcBorders>
          </w:tcPr>
          <w:p>
            <w:r>
              <w:t>⑤状況報告</w:t>
            </w:r>
          </w:p>
        </w:tc>
        <w:tc>
          <w:tcPr>
            <w:tcW w:type="dxa" w:w="4703"/>
            <w:tcBorders>
              <w:top w:val="single" w:sz="4" w:space="0" w:color="AAAAAA"/>
              <w:left w:val="single" w:sz="4" w:space="0" w:color="AAAAAA"/>
              <w:bottom w:val="single" w:sz="4" w:space="0" w:color="AAAAAA"/>
              <w:right w:val="single" w:sz="4" w:space="0" w:color="AAAAAA"/>
            </w:tcBorders>
          </w:tcPr>
          <w:p>
            <w:r>
              <w:t>賃上げ後6か月を経過した時点で賃金台帳等を労働局に提出</w:t>
            </w:r>
          </w:p>
        </w:tc>
      </w:tr>
    </w:tbl>
    <w:p>
      <w:pPr>
        <w:spacing w:after="40"/>
      </w:pPr>
    </w:p>
    <w:p>
      <w:pPr>
        <w:shd w:val="clear" w:color="auto" w:fill="E8F5F5"/>
        <w:spacing w:before="80" w:after="120"/>
        <w:ind w:left="200" w:right="200"/>
      </w:pPr>
      <w:r>
        <w:rPr>
          <w:rFonts w:ascii="MS Gothic" w:hAnsi="MS Gothic"/>
          <w:b w:val="0"/>
          <w:sz w:val="21"/>
        </w:rPr>
        <w:t>★ 交付決定前の設備発注・契約・導入は助成対象外。これは絶対に守るべき最重要ルールです。</w:t>
      </w:r>
    </w:p>
    <w:p>
      <w:pPr>
        <w:spacing w:after="40"/>
      </w:pPr>
    </w:p>
    <w:p>
      <w:pPr>
        <w:shd w:val="clear" w:color="auto" w:fill="2E8B8B"/>
        <w:spacing w:before="200" w:after="80"/>
      </w:pPr>
      <w:r>
        <w:rPr>
          <w:rFonts w:ascii="MS Gothic" w:hAnsi="MS Gothic"/>
          <w:b/>
          <w:color w:val="FFFFFF"/>
          <w:sz w:val="24"/>
        </w:rPr>
        <w:t>9. 申請時の実務上の注意点（5つ）</w:t>
      </w:r>
    </w:p>
    <w:p>
      <w:pPr>
        <w:spacing w:before="160" w:after="60"/>
      </w:pPr>
      <w:r>
        <w:rPr>
          <w:rFonts w:ascii="MS Gothic" w:hAnsi="MS Gothic"/>
          <w:b/>
          <w:color w:val="2E8B8B"/>
          <w:sz w:val="22"/>
        </w:rPr>
        <w:t>注意点① 賃上げ・就業規則改定は必ず「申請後」</w:t>
      </w:r>
    </w:p>
    <w:p>
      <w:pPr>
        <w:spacing w:after="80"/>
      </w:pPr>
      <w:r>
        <w:rPr>
          <w:rFonts w:ascii="MS Gothic" w:hAnsi="MS Gothic"/>
          <w:b w:val="0"/>
          <w:sz w:val="21"/>
        </w:rPr>
        <w:t>業務改善助成金は「先に申請、後で賃上げ・規則改定」の順番が原則です。事前に進めるのは案の作成や社内調整までにとどめてください。規則改定や新しい規則の適用も、必ず申請後に行うことが重要です。</w:t>
      </w:r>
    </w:p>
    <w:p>
      <w:pPr>
        <w:spacing w:before="160" w:after="60"/>
      </w:pPr>
      <w:r>
        <w:rPr>
          <w:rFonts w:ascii="MS Gothic" w:hAnsi="MS Gothic"/>
          <w:b/>
          <w:color w:val="2E8B8B"/>
          <w:sz w:val="22"/>
        </w:rPr>
        <w:t>注意点② 賃上げは一度で行う</w:t>
      </w:r>
    </w:p>
    <w:p>
      <w:pPr>
        <w:spacing w:after="80"/>
      </w:pPr>
      <w:r>
        <w:rPr>
          <w:rFonts w:ascii="MS Gothic" w:hAnsi="MS Gothic"/>
          <w:b w:val="0"/>
          <w:sz w:val="21"/>
        </w:rPr>
        <w:t>分割での賃上げは認められません。コースに応じた額を一度で引き上げてください。また、新しい事業場内最低賃金を下回る労働者は全員引き上げが必要です。</w:t>
      </w:r>
    </w:p>
    <w:p>
      <w:pPr>
        <w:spacing w:before="160" w:after="60"/>
      </w:pPr>
      <w:r>
        <w:rPr>
          <w:rFonts w:ascii="MS Gothic" w:hAnsi="MS Gothic"/>
          <w:b/>
          <w:color w:val="2E8B8B"/>
          <w:sz w:val="22"/>
        </w:rPr>
        <w:t>注意点③ 相見積もりが必要になる場合がある</w:t>
      </w:r>
    </w:p>
    <w:p>
      <w:pPr>
        <w:spacing w:after="80"/>
      </w:pPr>
      <w:r>
        <w:rPr>
          <w:rFonts w:ascii="MS Gothic" w:hAnsi="MS Gothic"/>
          <w:b w:val="0"/>
          <w:sz w:val="21"/>
        </w:rPr>
        <w:t>随意契約や中古機械の導入などでは、複数の見積書を求められるケースがあります。設備投資を検討する段階から見積書の準備を進めておくことが重要です。具体的な要否は管轄の労働局または最新の交付要綱・要領で確認してください。</w:t>
      </w:r>
    </w:p>
    <w:p>
      <w:pPr>
        <w:spacing w:before="160" w:after="60"/>
      </w:pPr>
      <w:r>
        <w:rPr>
          <w:rFonts w:ascii="MS Gothic" w:hAnsi="MS Gothic"/>
          <w:b/>
          <w:color w:val="2E8B8B"/>
          <w:sz w:val="22"/>
        </w:rPr>
        <w:t>注意点④ 対象者の賃上げ実績を確認できること</w:t>
      </w:r>
    </w:p>
    <w:p>
      <w:pPr>
        <w:spacing w:after="80"/>
      </w:pPr>
      <w:r>
        <w:rPr>
          <w:rFonts w:ascii="MS Gothic" w:hAnsi="MS Gothic"/>
          <w:b w:val="0"/>
          <w:sz w:val="21"/>
        </w:rPr>
        <w:t>育児休業中・休職中・長期欠勤中の労働者や異動予定者を対象に含める場合は、要件を満たしているか事前に慎重に確認してください。</w:t>
      </w:r>
    </w:p>
    <w:p>
      <w:pPr>
        <w:spacing w:before="160" w:after="60"/>
      </w:pPr>
      <w:r>
        <w:rPr>
          <w:rFonts w:ascii="MS Gothic" w:hAnsi="MS Gothic"/>
          <w:b/>
          <w:color w:val="2E8B8B"/>
          <w:sz w:val="22"/>
        </w:rPr>
        <w:t>注意点⑤ 適切な労務管理と法令遵守が前提</w:t>
      </w:r>
    </w:p>
    <w:p>
      <w:pPr>
        <w:spacing w:after="80"/>
      </w:pPr>
      <w:r>
        <w:rPr>
          <w:rFonts w:ascii="MS Gothic" w:hAnsi="MS Gothic"/>
          <w:b w:val="0"/>
          <w:sz w:val="21"/>
        </w:rPr>
        <w:t>以下の点が申請・審査時に確認される場合があります。</w:t>
      </w:r>
    </w:p>
    <w:p>
      <w:pPr>
        <w:spacing w:after="40"/>
        <w:ind w:left="280"/>
      </w:pPr>
      <w:r>
        <w:rPr>
          <w:rFonts w:ascii="MS Gothic" w:hAnsi="MS Gothic"/>
          <w:b w:val="0"/>
          <w:sz w:val="21"/>
        </w:rPr>
        <w:t>・割増賃金が適正に支払われているか</w:t>
      </w:r>
    </w:p>
    <w:p>
      <w:pPr>
        <w:spacing w:after="40"/>
        <w:ind w:left="280"/>
      </w:pPr>
      <w:r>
        <w:rPr>
          <w:rFonts w:ascii="MS Gothic" w:hAnsi="MS Gothic"/>
          <w:b w:val="0"/>
          <w:sz w:val="21"/>
        </w:rPr>
        <w:t>・雇用契約書・労働条件通知書の内容が適正か</w:t>
      </w:r>
    </w:p>
    <w:p>
      <w:pPr>
        <w:spacing w:after="40"/>
        <w:ind w:left="280"/>
      </w:pPr>
      <w:r>
        <w:rPr>
          <w:rFonts w:ascii="MS Gothic" w:hAnsi="MS Gothic"/>
          <w:b w:val="0"/>
          <w:sz w:val="21"/>
        </w:rPr>
        <w:t>・出勤簿・タイムカードが整備されているか</w:t>
      </w:r>
    </w:p>
    <w:p>
      <w:pPr>
        <w:spacing w:after="40"/>
        <w:ind w:left="280"/>
      </w:pPr>
      <w:r>
        <w:rPr>
          <w:rFonts w:ascii="MS Gothic" w:hAnsi="MS Gothic"/>
          <w:b w:val="0"/>
          <w:sz w:val="21"/>
        </w:rPr>
        <w:t>・就業規則の内容が実態と合致しているか</w:t>
      </w:r>
    </w:p>
    <w:p>
      <w:pPr>
        <w:spacing w:after="40"/>
        <w:ind w:left="280"/>
      </w:pPr>
      <w:r>
        <w:rPr>
          <w:rFonts w:ascii="MS Gothic" w:hAnsi="MS Gothic"/>
          <w:b w:val="0"/>
          <w:sz w:val="21"/>
        </w:rPr>
        <w:t>・賃金台帳に法定記載項目が網羅されているか</w:t>
      </w:r>
    </w:p>
    <w:p>
      <w:pPr>
        <w:shd w:val="clear" w:color="auto" w:fill="E8F5F5"/>
        <w:spacing w:before="80" w:after="120"/>
        <w:ind w:left="200" w:right="200"/>
      </w:pPr>
      <w:r>
        <w:rPr>
          <w:rFonts w:ascii="MS Gothic" w:hAnsi="MS Gothic"/>
          <w:b w:val="0"/>
          <w:sz w:val="21"/>
        </w:rPr>
        <w:t>★ 労働関係法令に違反していることが明らかな場合、不交付事由に該当する可能性があります。申請前に顧客の労務管理状況を確認することを推奨します。</w:t>
      </w:r>
    </w:p>
    <w:p>
      <w:pPr>
        <w:spacing w:after="40"/>
      </w:pPr>
    </w:p>
    <w:p>
      <w:pPr>
        <w:shd w:val="clear" w:color="auto" w:fill="2E8B8B"/>
        <w:spacing w:before="200" w:after="80"/>
      </w:pPr>
      <w:r>
        <w:rPr>
          <w:rFonts w:ascii="MS Gothic" w:hAnsi="MS Gothic"/>
          <w:b/>
          <w:color w:val="FFFFFF"/>
          <w:sz w:val="24"/>
        </w:rPr>
        <w:t>10. 事業実施計画書の書き方</w:t>
      </w:r>
    </w:p>
    <w:p>
      <w:pPr>
        <w:spacing w:after="80"/>
      </w:pPr>
      <w:r>
        <w:rPr>
          <w:rFonts w:ascii="MS Gothic" w:hAnsi="MS Gothic"/>
          <w:b w:val="0"/>
          <w:sz w:val="21"/>
        </w:rPr>
        <w:t>事業実施計画書では、設備・システム導入によって業務がどう改善されるかを定性・定量の両面から記載することが重要です。</w:t>
      </w:r>
    </w:p>
    <w:p>
      <w:pPr>
        <w:spacing w:after="40"/>
      </w:pPr>
    </w:p>
    <w:p>
      <w:pPr>
        <w:shd w:val="clear" w:color="auto" w:fill="F5F5F5"/>
        <w:spacing w:before="80" w:after="120"/>
        <w:ind w:left="200"/>
      </w:pPr>
      <w:r>
        <w:rPr>
          <w:rFonts w:ascii="MS Gothic" w:hAnsi="MS Gothic"/>
          <w:b/>
          <w:sz w:val="21"/>
        </w:rPr>
        <w:t>重要：「便利になる」「業務がスムーズになる」等の抽象的な表現だけでは不十分です。導入前後の作業時間・人数・頻度を具体的な数値で示してください。</w:t>
      </w:r>
    </w:p>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記載項目</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導入前（現状）</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導入後（改善後）</w:t>
            </w:r>
          </w:p>
        </w:tc>
      </w:tr>
      <w:tr>
        <w:tc>
          <w:tcPr>
            <w:tcW w:type="dxa" w:w="3135"/>
            <w:tcBorders>
              <w:top w:val="single" w:sz="4" w:space="0" w:color="AAAAAA"/>
              <w:left w:val="single" w:sz="4" w:space="0" w:color="AAAAAA"/>
              <w:bottom w:val="single" w:sz="4" w:space="0" w:color="AAAAAA"/>
              <w:right w:val="single" w:sz="4" w:space="0" w:color="AAAAAA"/>
            </w:tcBorders>
          </w:tcPr>
          <w:p>
            <w:r>
              <w:t>対象業務</w:t>
            </w:r>
          </w:p>
        </w:tc>
        <w:tc>
          <w:tcPr>
            <w:tcW w:type="dxa" w:w="3135"/>
            <w:tcBorders>
              <w:top w:val="single" w:sz="4" w:space="0" w:color="AAAAAA"/>
              <w:left w:val="single" w:sz="4" w:space="0" w:color="AAAAAA"/>
              <w:bottom w:val="single" w:sz="4" w:space="0" w:color="AAAAAA"/>
              <w:right w:val="single" w:sz="4" w:space="0" w:color="AAAAAA"/>
            </w:tcBorders>
          </w:tcPr>
          <w:p>
            <w:r>
              <w:t>手書きで売上集計・レジ締め</w:t>
            </w:r>
          </w:p>
        </w:tc>
        <w:tc>
          <w:tcPr>
            <w:tcW w:type="dxa" w:w="3135"/>
            <w:tcBorders>
              <w:top w:val="single" w:sz="4" w:space="0" w:color="AAAAAA"/>
              <w:left w:val="single" w:sz="4" w:space="0" w:color="AAAAAA"/>
              <w:bottom w:val="single" w:sz="4" w:space="0" w:color="AAAAAA"/>
              <w:right w:val="single" w:sz="4" w:space="0" w:color="AAAAAA"/>
            </w:tcBorders>
          </w:tcPr>
          <w:p>
            <w:r>
              <w:t>POSレジによる自動集計</w:t>
            </w:r>
          </w:p>
        </w:tc>
      </w:tr>
      <w:tr>
        <w:tc>
          <w:tcPr>
            <w:tcW w:type="dxa" w:w="3135"/>
            <w:tcBorders>
              <w:top w:val="single" w:sz="4" w:space="0" w:color="AAAAAA"/>
              <w:left w:val="single" w:sz="4" w:space="0" w:color="AAAAAA"/>
              <w:bottom w:val="single" w:sz="4" w:space="0" w:color="AAAAAA"/>
              <w:right w:val="single" w:sz="4" w:space="0" w:color="AAAAAA"/>
            </w:tcBorders>
          </w:tcPr>
          <w:p>
            <w:r>
              <w:t>作業時間</w:t>
            </w:r>
          </w:p>
        </w:tc>
        <w:tc>
          <w:tcPr>
            <w:tcW w:type="dxa" w:w="3135"/>
            <w:tcBorders>
              <w:top w:val="single" w:sz="4" w:space="0" w:color="AAAAAA"/>
              <w:left w:val="single" w:sz="4" w:space="0" w:color="AAAAAA"/>
              <w:bottom w:val="single" w:sz="4" w:space="0" w:color="AAAAAA"/>
              <w:right w:val="single" w:sz="4" w:space="0" w:color="AAAAAA"/>
            </w:tcBorders>
          </w:tcPr>
          <w:p>
            <w:r>
              <w:t>1日あたり2時間（担当者1名）</w:t>
            </w:r>
          </w:p>
        </w:tc>
        <w:tc>
          <w:tcPr>
            <w:tcW w:type="dxa" w:w="3135"/>
            <w:tcBorders>
              <w:top w:val="single" w:sz="4" w:space="0" w:color="AAAAAA"/>
              <w:left w:val="single" w:sz="4" w:space="0" w:color="AAAAAA"/>
              <w:bottom w:val="single" w:sz="4" w:space="0" w:color="AAAAAA"/>
              <w:right w:val="single" w:sz="4" w:space="0" w:color="AAAAAA"/>
            </w:tcBorders>
          </w:tcPr>
          <w:p>
            <w:r>
              <w:t>1日あたり30分（削減：1.5時間/日）</w:t>
            </w:r>
          </w:p>
        </w:tc>
      </w:tr>
      <w:tr>
        <w:tc>
          <w:tcPr>
            <w:tcW w:type="dxa" w:w="3135"/>
            <w:tcBorders>
              <w:top w:val="single" w:sz="4" w:space="0" w:color="AAAAAA"/>
              <w:left w:val="single" w:sz="4" w:space="0" w:color="AAAAAA"/>
              <w:bottom w:val="single" w:sz="4" w:space="0" w:color="AAAAAA"/>
              <w:right w:val="single" w:sz="4" w:space="0" w:color="AAAAAA"/>
            </w:tcBorders>
          </w:tcPr>
          <w:p>
            <w:r>
              <w:t>月間削減時間</w:t>
            </w:r>
          </w:p>
        </w:tc>
        <w:tc>
          <w:tcPr>
            <w:tcW w:type="dxa" w:w="3135"/>
            <w:tcBorders>
              <w:top w:val="single" w:sz="4" w:space="0" w:color="AAAAAA"/>
              <w:left w:val="single" w:sz="4" w:space="0" w:color="AAAAAA"/>
              <w:bottom w:val="single" w:sz="4" w:space="0" w:color="AAAAAA"/>
              <w:right w:val="single" w:sz="4" w:space="0" w:color="AAAAAA"/>
            </w:tcBorders>
          </w:tcPr>
          <w:p>
            <w:r>
              <w:t>─</w:t>
            </w:r>
          </w:p>
        </w:tc>
        <w:tc>
          <w:tcPr>
            <w:tcW w:type="dxa" w:w="3135"/>
            <w:tcBorders>
              <w:top w:val="single" w:sz="4" w:space="0" w:color="AAAAAA"/>
              <w:left w:val="single" w:sz="4" w:space="0" w:color="AAAAAA"/>
              <w:bottom w:val="single" w:sz="4" w:space="0" w:color="AAAAAA"/>
              <w:right w:val="single" w:sz="4" w:space="0" w:color="AAAAAA"/>
            </w:tcBorders>
          </w:tcPr>
          <w:p>
            <w:r>
              <w:t>約30時間/月の削減見込み</w:t>
            </w:r>
          </w:p>
        </w:tc>
      </w:tr>
    </w:tbl>
    <w:p>
      <w:pPr>
        <w:spacing w:after="40"/>
      </w:pPr>
    </w:p>
    <w:p>
      <w:pPr>
        <w:spacing w:after="80"/>
      </w:pPr>
      <w:r>
        <w:rPr>
          <w:rFonts w:ascii="MS Gothic" w:hAnsi="MS Gothic"/>
          <w:b w:val="0"/>
          <w:sz w:val="21"/>
        </w:rPr>
        <w:t>「誰が」「何の作業に」「どれくらいの時間をかけているか」を導入前に調査・記録し、導入後の削減効果を数値で示すことが審査通過のポイントです。申請書と計画書の内容の整合性も厳しく確認されます。</w:t>
      </w:r>
    </w:p>
    <w:p>
      <w:pPr>
        <w:spacing w:after="40"/>
      </w:pPr>
    </w:p>
    <w:p>
      <w:pPr>
        <w:shd w:val="clear" w:color="auto" w:fill="2E8B8B"/>
        <w:spacing w:before="200" w:after="80"/>
      </w:pPr>
      <w:r>
        <w:rPr>
          <w:rFonts w:ascii="MS Gothic" w:hAnsi="MS Gothic"/>
          <w:b/>
          <w:color w:val="FFFFFF"/>
          <w:sz w:val="24"/>
        </w:rPr>
        <w:t>11. 申請前チェックリスト</w:t>
      </w: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確認項目</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チェック</w:t>
            </w:r>
          </w:p>
        </w:tc>
      </w:tr>
      <w:tr>
        <w:tc>
          <w:tcPr>
            <w:tcW w:type="dxa" w:w="4703"/>
            <w:tcBorders>
              <w:top w:val="single" w:sz="4" w:space="0" w:color="AAAAAA"/>
              <w:left w:val="single" w:sz="4" w:space="0" w:color="AAAAAA"/>
              <w:bottom w:val="single" w:sz="4" w:space="0" w:color="AAAAAA"/>
              <w:right w:val="single" w:sz="4" w:space="0" w:color="AAAAAA"/>
            </w:tcBorders>
          </w:tcPr>
          <w:p>
            <w:r>
              <w:t>事業場内最低賃金が令和8年度地域別最低賃金未満であることを確認</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助成率（4/5 or 3/4）の区分を確認</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対象労働者の雇用保険加入状況・入社日を確認</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賃上げコース（50円/70円/90円）の選定</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設備投資内容の選定と相見積もりの準備（8月中に完了）</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事業実施計画書の作成（定量的な効果を数値で記載）</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交付申請は9月1日以降に実施（設備発注は交付決定後）</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賃上げ・就業規則改定は申請後に実施</w:t>
            </w:r>
          </w:p>
        </w:tc>
        <w:tc>
          <w:tcPr>
            <w:tcW w:type="dxa" w:w="4703"/>
            <w:tcBorders>
              <w:top w:val="single" w:sz="4" w:space="0" w:color="AAAAAA"/>
              <w:left w:val="single" w:sz="4" w:space="0" w:color="AAAAAA"/>
              <w:bottom w:val="single" w:sz="4" w:space="0" w:color="AAAAAA"/>
              <w:right w:val="single" w:sz="4" w:space="0" w:color="AAAAAA"/>
            </w:tcBorders>
          </w:tcPr>
          <w:p>
            <w:r>
              <w:t>□</w:t>
            </w:r>
          </w:p>
        </w:tc>
      </w:tr>
    </w:tbl>
    <w:p>
      <w:pPr>
        <w:spacing w:after="40"/>
      </w:pPr>
    </w:p>
    <w:p>
      <w:pPr>
        <w:spacing w:after="80"/>
      </w:pPr>
      <w:r>
        <w:rPr>
          <w:rFonts w:ascii="MS Gothic" w:hAnsi="MS Gothic"/>
          <w:b w:val="0"/>
          <w:sz w:val="21"/>
        </w:rPr>
        <w:t>3回にわたり業務改善助成金を解説しました。顧客支援にお役立ていただければ幸いです。</w:t>
      </w:r>
    </w:p>
    <w:p>
      <w:pPr>
        <w:spacing w:after="80"/>
      </w:pPr>
      <w:r>
        <w:rPr>
          <w:rFonts w:ascii="MS Gothic" w:hAnsi="MS Gothic"/>
          <w:b w:val="0"/>
          <w:sz w:val="21"/>
        </w:rPr>
        <w:t>ご不明点は業務改善助成金コールセンター（0120-366-440 平日9:00〜17:00）または管轄の都道府県労働局 雇用環境・均等部（室）までご確認ください。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