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40"/>
        </w:rPr>
        <w:t>TÀI LIỆU NGHIÊN CỨU &amp; PHÂN TÍCH HỆ THỐNG HẢISẢN.VN</w:t>
        <w:br/>
      </w:r>
    </w:p>
    <w:p>
      <w:pPr>
        <w:jc w:val="center"/>
      </w:pPr>
      <w:r>
        <w:rPr>
          <w:rFonts w:ascii="Calibri" w:hAnsi="Calibri"/>
          <w:i/>
          <w:color w:val="0369A1"/>
          <w:sz w:val="24"/>
        </w:rPr>
        <w:t>Bản Báo Cáo Chuyên Sâu Về Business Logic, Các Vấn Đề Kỹ Thuật Đã Giải Quyết và Mô Hinh Doanh Thu Phục Vụ Bảo Vệ Đồ Án Tốt Nghiệp SWP391</w:t>
      </w:r>
    </w:p>
    <w:p>
      <w:r>
        <w:br/>
      </w:r>
    </w:p>
    <w:p>
      <w:pPr>
        <w:spacing w:before="240" w:after="120"/>
      </w:pPr>
      <w:r>
        <w:rPr>
          <w:rFonts w:ascii="Calibri" w:hAnsi="Calibri"/>
          <w:b/>
          <w:color w:val="1E3A8A"/>
          <w:sz w:val="28"/>
        </w:rPr>
        <w:t>CHƯƠNG I: TỔNG QUAN DỰ ÁN VÀ Ý NGHĨA THỰC TIỄN</w:t>
      </w:r>
    </w:p>
    <w:p>
      <w:pPr>
        <w:spacing w:line="288" w:lineRule="auto"/>
      </w:pPr>
      <w:r>
        <w:t>Dự án HảiSản.vn (sea_shop) ra đời nhằm giải quyết những bất cập sâu sắc trong chuỗi cung ứng thủy hải sản truyền thống tại Việt Nam. Hải sản là mặt hàng tươi sống có tính chất nhạy cảm cực cao về mặt thời gian; chất lượng và giá trị của sản phẩm giảm sút nhanh chóng theo từng giờ sau khi đánh bắt. Tuy nhiên, chuỗi cung ứng truyền thống đang tồn tại nhiều nút thắt cổ chai gây thiệt hại lớn cho cả ngư dân và người tiêu dùng cuối cùng.</w:t>
      </w:r>
    </w:p>
    <w:tbl>
      <w:tblPr>
        <w:tblW w:type="auto" w:w="0"/>
        <w:jc w:val="center"/>
        <w:tblLook w:firstColumn="1" w:firstRow="1" w:lastColumn="0" w:lastRow="0" w:noHBand="0" w:noVBand="1" w:val="04A0"/>
      </w:tblPr>
      <w:tblGrid>
        <w:gridCol w:w="3134"/>
        <w:gridCol w:w="3134"/>
        <w:gridCol w:w="3134"/>
      </w:tblGrid>
      <w:tr>
        <w:tc>
          <w:tcPr>
            <w:tcW w:type="dxa" w:w="3134"/>
            <w:shd w:fill="1E3A8A"/>
            <w:tcMar>
              <w:top w:w="140" w:type="dxa"/>
              <w:bottom w:w="140" w:type="dxa"/>
              <w:left w:w="150" w:type="dxa"/>
              <w:right w:w="150" w:type="dxa"/>
            </w:tcMar>
          </w:tcPr>
          <w:p>
            <w:r>
              <w:rPr>
                <w:b/>
                <w:color w:val="FFFFFF"/>
                <w:sz w:val="21"/>
              </w:rPr>
              <w:t>Khía cạnh so sánh</w:t>
            </w:r>
          </w:p>
        </w:tc>
        <w:tc>
          <w:tcPr>
            <w:tcW w:type="dxa" w:w="3134"/>
            <w:shd w:fill="1E3A8A"/>
            <w:tcMar>
              <w:top w:w="140" w:type="dxa"/>
              <w:bottom w:w="140" w:type="dxa"/>
              <w:left w:w="150" w:type="dxa"/>
              <w:right w:w="150" w:type="dxa"/>
            </w:tcMar>
          </w:tcPr>
          <w:p>
            <w:r>
              <w:rPr>
                <w:b/>
                <w:color w:val="FFFFFF"/>
                <w:sz w:val="21"/>
              </w:rPr>
              <w:t>Chuỗi cung ứng truyền thống</w:t>
            </w:r>
          </w:p>
        </w:tc>
        <w:tc>
          <w:tcPr>
            <w:tcW w:type="dxa" w:w="3134"/>
            <w:shd w:fill="1E3A8A"/>
            <w:tcMar>
              <w:top w:w="140" w:type="dxa"/>
              <w:bottom w:w="140" w:type="dxa"/>
              <w:left w:w="150" w:type="dxa"/>
              <w:right w:w="150" w:type="dxa"/>
            </w:tcMar>
          </w:tcPr>
          <w:p>
            <w:r>
              <w:rPr>
                <w:b/>
                <w:color w:val="FFFFFF"/>
                <w:sz w:val="21"/>
              </w:rPr>
              <w:t>Hệ thống HảiSản.vn</w:t>
            </w:r>
          </w:p>
        </w:tc>
      </w:tr>
      <w:tr>
        <w:tc>
          <w:tcPr>
            <w:tcW w:type="dxa" w:w="3134"/>
            <w:tcMar>
              <w:top w:w="100" w:type="dxa"/>
              <w:bottom w:w="100" w:type="dxa"/>
              <w:left w:w="150" w:type="dxa"/>
              <w:right w:w="150" w:type="dxa"/>
            </w:tcMar>
          </w:tcPr>
          <w:p>
            <w:r>
              <w:rPr>
                <w:sz w:val="19"/>
              </w:rPr>
              <w:t>Khâu trung gian</w:t>
            </w:r>
          </w:p>
        </w:tc>
        <w:tc>
          <w:tcPr>
            <w:tcW w:type="dxa" w:w="3134"/>
            <w:tcMar>
              <w:top w:w="100" w:type="dxa"/>
              <w:bottom w:w="100" w:type="dxa"/>
              <w:left w:w="150" w:type="dxa"/>
              <w:right w:w="150" w:type="dxa"/>
            </w:tcMar>
          </w:tcPr>
          <w:p>
            <w:r>
              <w:rPr>
                <w:sz w:val="19"/>
              </w:rPr>
              <w:t>Qua nhiều cấp trung gian (Thương lái gom tại cảng -&gt; Chợ đầu mối -&gt; Tiểu thương chợ lẻ). Giá bị đẩy lên gấp 1.5 - 2 lần.</w:t>
            </w:r>
          </w:p>
        </w:tc>
        <w:tc>
          <w:tcPr>
            <w:tcW w:type="dxa" w:w="3134"/>
            <w:tcMar>
              <w:top w:w="100" w:type="dxa"/>
              <w:bottom w:w="100" w:type="dxa"/>
              <w:left w:w="150" w:type="dxa"/>
              <w:right w:w="150" w:type="dxa"/>
            </w:tcMar>
          </w:tcPr>
          <w:p>
            <w:r>
              <w:rPr>
                <w:sz w:val="19"/>
              </w:rPr>
              <w:t>Kết nối trực tiếp Peer-to-Peer (Ngư dân bán trực tiếp cho Người mua/Nhà hàng). Triệt tiêu hoàn toàn chi phí trung gian.</w:t>
            </w:r>
          </w:p>
        </w:tc>
      </w:tr>
      <w:tr>
        <w:tc>
          <w:tcPr>
            <w:tcW w:type="dxa" w:w="3134"/>
            <w:tcMar>
              <w:top w:w="100" w:type="dxa"/>
              <w:bottom w:w="100" w:type="dxa"/>
              <w:left w:w="150" w:type="dxa"/>
              <w:right w:w="150" w:type="dxa"/>
            </w:tcMar>
            <w:shd w:fill="F9FAFB"/>
          </w:tcPr>
          <w:p>
            <w:r>
              <w:rPr>
                <w:sz w:val="19"/>
              </w:rPr>
              <w:t>Độ tươi ngon &amp; Tin cậy</w:t>
            </w:r>
          </w:p>
        </w:tc>
        <w:tc>
          <w:tcPr>
            <w:tcW w:type="dxa" w:w="3134"/>
            <w:tcMar>
              <w:top w:w="100" w:type="dxa"/>
              <w:bottom w:w="100" w:type="dxa"/>
              <w:left w:w="150" w:type="dxa"/>
              <w:right w:w="150" w:type="dxa"/>
            </w:tcMar>
            <w:shd w:fill="F9FAFB"/>
          </w:tcPr>
          <w:p>
            <w:r>
              <w:rPr>
                <w:sz w:val="19"/>
              </w:rPr>
              <w:t>Hải sản bảo quản dài ngày qua đông lạnh hoặc ướp hóa chất bảo quản để vận chuyển đường dài. Người mua thiếu lòng tin về nguồn gốc.</w:t>
            </w:r>
          </w:p>
        </w:tc>
        <w:tc>
          <w:tcPr>
            <w:tcW w:type="dxa" w:w="3134"/>
            <w:tcMar>
              <w:top w:w="100" w:type="dxa"/>
              <w:bottom w:w="100" w:type="dxa"/>
              <w:left w:w="150" w:type="dxa"/>
              <w:right w:w="150" w:type="dxa"/>
            </w:tcMar>
            <w:shd w:fill="F9FAFB"/>
          </w:tcPr>
          <w:p>
            <w:r>
              <w:rPr>
                <w:sz w:val="19"/>
              </w:rPr>
              <w:t>Giao dịch ngay tại bến cảng/tàu bè dựa trên GPS. Khách mua gọi Video WebRTC kiểm tra trực tiếp độ tươi trước khi xuống tiền.</w:t>
            </w:r>
          </w:p>
        </w:tc>
      </w:tr>
    </w:tbl>
    <w:p>
      <w:r>
        <w:br/>
      </w:r>
    </w:p>
    <w:p>
      <w:pPr>
        <w:spacing w:before="240" w:after="120"/>
      </w:pPr>
      <w:r>
        <w:rPr>
          <w:rFonts w:ascii="Calibri" w:hAnsi="Calibri"/>
          <w:b/>
          <w:color w:val="1E3A8A"/>
          <w:sz w:val="28"/>
        </w:rPr>
        <w:t>CHƯƠNG II: PHÂN TÍCH CHI TIẾT LOGIC NGHIỆP VỤ CỐT LÕI (BUSINESS LOGIC)</w:t>
      </w:r>
    </w:p>
    <w:p>
      <w:pPr>
        <w:spacing w:before="120"/>
      </w:pPr>
      <w:r>
        <w:rPr>
          <w:rFonts w:ascii="Calibri" w:hAnsi="Calibri"/>
          <w:b/>
          <w:color w:val="0369A1"/>
          <w:sz w:val="24"/>
        </w:rPr>
        <w:t>2.1 Nghiệp vụ Đăng bán &amp; Phân loại sản phẩm (Fresh vs Dried)</w:t>
      </w:r>
    </w:p>
    <w:p>
      <w:pPr>
        <w:spacing w:line="288" w:lineRule="auto"/>
      </w:pPr>
      <w:r>
        <w:t>Hệ thống phân chia sản phẩm hải sản thành 2 loại với các quy tắc nghiệp vụ hoàn toàn khác nhau:</w:t>
        <w:br/>
        <w:t>1. Hải sản tươi sống (Fresh): Yêu cầu bắt buộc phải có tọa độ vị trí GPS (vị trí tàu cá hoặc bến cảng neo đậu) và Thời gian đánh bắt (catchTime) để người mua ước lượng độ tươi. Hải sản tươi sống sẽ được định vị trên bản đồ số.</w:t>
        <w:br/>
        <w:t>2. Hải sản khô/chế biến (Dried): Không yêu cầu vị trí GPS thời gian thực mà tập trung vào Hạn sử dụng (expiryDate) và Nguồn gốc xuất xứ (origin).</w:t>
      </w:r>
    </w:p>
    <w:p>
      <w:pPr>
        <w:spacing w:before="120"/>
      </w:pPr>
      <w:r>
        <w:rPr>
          <w:rFonts w:ascii="Calibri" w:hAnsi="Calibri"/>
          <w:b/>
          <w:color w:val="0369A1"/>
          <w:sz w:val="24"/>
        </w:rPr>
        <w:t>2.2 Nghiệp vụ Tìm kiếm &amp; Phân phối dựa trên Vị trí địa lý (GPS-Based Search)</w:t>
      </w:r>
    </w:p>
    <w:p>
      <w:pPr>
        <w:spacing w:line="288" w:lineRule="auto"/>
      </w:pPr>
      <w:r>
        <w:t>Khi người mua truy cập trang bản đồ Leaflet, trình duyệt sẽ xin quyền truy cập GPS của thiết bị. Hệ thống thực hiện:</w:t>
        <w:br/>
        <w:t>- Truy vấn cơ sở dữ liệu MongoDB sử dụng toán tử địa lý nâng cao $geoWithin kết hợp với $centerSphere trên chỉ mục '2dsphere' của trường 'location'.</w:t>
        <w:br/>
        <w:t>- Bán kính tìm kiếm được giới hạn tự động (ví dụ: tối đa 20km) để đảm bảo tính khả thi trong khâu vận chuyển hàng tươi sống.</w:t>
        <w:br/>
        <w:t>- Công thức Haversine dạng mặt cầu được áp dụng ở tầng backend để tính toán khoảng cách thực tế giữa người mua và từng ngư dân bán, sắp xếp kết quả hiển thị từ gần nhất đến xa nhất.</w:t>
      </w:r>
    </w:p>
    <w:p>
      <w:pPr>
        <w:spacing w:before="120"/>
      </w:pPr>
      <w:r>
        <w:rPr>
          <w:rFonts w:ascii="Calibri" w:hAnsi="Calibri"/>
          <w:b/>
          <w:color w:val="0369A1"/>
          <w:sz w:val="24"/>
        </w:rPr>
        <w:t>2.3 Nghiệp vụ Giao tiếp Thời gian thực &amp; WebRTC Video Call</w:t>
      </w:r>
    </w:p>
    <w:p>
      <w:pPr>
        <w:spacing w:line="288" w:lineRule="auto"/>
      </w:pPr>
      <w:r>
        <w:t>Kênh trò chuyện realtime (Socket.IO) đóng vai trò làm cầu nối thương lượng. Bên cạnh chức năng nhắn tin văn bản, chia sẻ hình ảnh và tọa độ vị trí bến bãi, hệ thống cung cấp cuộc gọi video WebRTC ngang hàng (P2P):</w:t>
        <w:br/>
        <w:t>- Không tốn tài nguyên máy chủ: Dữ liệu hình ảnh và âm thanh chất lượng cao được truyền phát trực tiếp giữa hai trình duyệt (P2P), máy chủ chỉ đóng vai trò làm kênh báo hiệu (Signaling Server) để trao đổi các cấu hình SDP (Session Description Protocol) và các địa chỉ mạng ICE Candidates.</w:t>
        <w:br/>
        <w:t>- Tính năng chat nâng cao: Người dùng có thể chỉnh sửa tin nhắn, thả cảm xúc emoji hoặc thu hồi tin nhắn lỗi. Trạng thái đồng bộ ngay tức khắc trên màn hình đối phương qua Socket.io mà không cần tải lại trang.</w:t>
      </w:r>
    </w:p>
    <w:p>
      <w:pPr>
        <w:spacing w:before="120"/>
      </w:pPr>
      <w:r>
        <w:rPr>
          <w:rFonts w:ascii="Calibri" w:hAnsi="Calibri"/>
          <w:b/>
          <w:color w:val="0369A1"/>
          <w:sz w:val="24"/>
        </w:rPr>
        <w:t>2.4 Quy trình Nâng cấp Premium tự động qua VietQR Webhook</w:t>
      </w:r>
    </w:p>
    <w:p>
      <w:pPr>
        <w:spacing w:line="288" w:lineRule="auto"/>
      </w:pPr>
      <w:r>
        <w:t>Để kích hoạt các tính năng Premium (như đẩy bài đăng không giới hạn hoặc đẩy bài lên top đầu bản đồ hiển thị), ngư dân thực hiện quét mã VietQR tĩnh của hệ thống. Mã QR chứa cú pháp chuyển khoản chuẩn định dạng: 'SF &lt;UserID&gt;'.</w:t>
        <w:br/>
        <w:t>Quy trình xử lý tự động diễn ra như sau:</w:t>
        <w:br/>
        <w:t>1. Ngân hàng nhận tiền và thông báo qua Napas tới Sepay Gateway.</w:t>
        <w:br/>
        <w:t>2. Sepay Gateway gửi một request HTTP POST Webhook bảo mật tới backend HảiSản.vn kèm chữ ký xác thực API Key.</w:t>
        <w:br/>
        <w:t>3. Backend kiểm tra chữ ký an toàn, tách mã 'UserID' từ nội dung chuyển khoản để cập nhật trạng thái 'isPremium = true' trong MongoDB.</w:t>
        <w:br/>
        <w:t>4. Hệ thống thực hiện thu hồi tất cả các Refresh Token đang hoạt động của người dùng đó trên Redis (Cascade Logout), cưỡng chế thiết bị của ngư dân phải đăng nhập lại để nhận về Token mới chứa quyền Premium.</w:t>
      </w:r>
    </w:p>
    <w:p>
      <w:pPr>
        <w:spacing w:before="240" w:after="120"/>
      </w:pPr>
      <w:r>
        <w:rPr>
          <w:rFonts w:ascii="Calibri" w:hAnsi="Calibri"/>
          <w:b/>
          <w:color w:val="1E3A8A"/>
          <w:sz w:val="28"/>
        </w:rPr>
        <w:t>CHƯƠNG III: BÀI TOÁN DOANH THU &amp; CHIẾN LƯỢC GIỮ CHÂN NGƯỜI DÙNG</w:t>
      </w:r>
    </w:p>
    <w:p>
      <w:pPr>
        <w:spacing w:line="288" w:lineRule="auto"/>
      </w:pPr>
      <w:r>
        <w:t>Đây là phần cốt lõi mà các Hội đồng phản biện đặc biệt quan tâm đối với các dự án thương mại điện tử. Hội đồng thường đặt câu hỏi nghi vấn: 'Nếu người mua và người bán tự nhắn tin thỏa thuận rồi xin số điện thoại, kết bạn Zalo để giao dịch trực tiếp các lần sau (bypass sàn), sàn sẽ mất nguồn thu và sụp đổ. Dự án giải quyết vấn đề này thế nào để duy trì doanh thu?'</w:t>
      </w:r>
    </w:p>
    <w:tbl>
      <w:tblPr>
        <w:tblW w:type="auto" w:w="0"/>
        <w:jc w:val="center"/>
        <w:tblLook w:firstColumn="1" w:firstRow="1" w:lastColumn="0" w:lastRow="0" w:noHBand="0" w:noVBand="1" w:val="04A0"/>
      </w:tblPr>
      <w:tblGrid>
        <w:gridCol w:w="9403"/>
      </w:tblGrid>
      <w:tr>
        <w:tc>
          <w:tcPr>
            <w:tcW w:type="dxa" w:w="7920"/>
            <w:shd w:fill="F3F4F6"/>
            <w:tcMar>
              <w:top w:w="140" w:type="dxa"/>
              <w:bottom w:w="140" w:type="dxa"/>
              <w:left w:w="180" w:type="dxa"/>
              <w:right w:w="180" w:type="dxa"/>
            </w:tcMar>
          </w:tcPr>
          <w:p>
            <w:r>
              <w:rPr>
                <w:b/>
                <w:color w:val="1E3A8A"/>
                <w:sz w:val="22"/>
              </w:rPr>
              <w:t>LUẬN ĐIỂM PHẢN BIỆN CHÍNH TRƯỚC HỘI ĐỒNG:</w:t>
              <w:br/>
            </w:r>
            <w:r>
              <w:rPr>
                <w:i/>
                <w:sz w:val="21"/>
              </w:rPr>
              <w:t>HảiSản.vn định vị không phải là một sàn thu phí giao dịch trực tiếp (transaction-fee based) trên từng mẻ cá nhỏ lẻ của ngư dân nghèo. Điều này giúp triệt tiêu hoàn toàn động lực 'bypass sàn' của người dùng. Thay vào đó, mô hình doanh thu của hệ thống được đa dạng hóa bền vững dựa trên các trụ cột giá trị bổ trợ lẫn nhau.</w:t>
            </w:r>
          </w:p>
        </w:tc>
      </w:tr>
    </w:tbl>
    <w:p>
      <w:r>
        <w:br/>
      </w:r>
    </w:p>
    <w:p>
      <w:r>
        <w:rPr>
          <w:rFonts w:ascii="Calibri" w:hAnsi="Calibri"/>
          <w:b/>
          <w:color w:val="0369A1"/>
          <w:sz w:val="24"/>
        </w:rPr>
        <w:t>3.1 Hai Trụ Cột Doanh Thu Bền Vững</w:t>
      </w:r>
    </w:p>
    <w:p>
      <w:pPr>
        <w:ind w:left="360"/>
      </w:pPr>
      <w:r>
        <w:rPr>
          <w:b/>
        </w:rPr>
        <w:t xml:space="preserve">1. Mô hình Phí Đăng ký Premium (Subscription Fee) dành cho Người Bán: </w:t>
      </w:r>
      <w:r>
        <w:t>Mỗi ngày cảng cá có hàng trăm ghe tàu cập bến, hàng nghìn bài đăng bán được đẩy lên hệ thống. Bài đăng thường sẽ nhanh chóng trôi xuống dưới. Để sản phẩm của mình luôn nổi bật ở top đầu bản đồ tìm kiếm và tiếp cận lượng khách hàng khổng lồ, ngư dân phải nâng cấp tài khoản Premium. Ngay cả khi ngư dân có một lượng khách quen ngoài sàn, họ vẫn cần duy trì Premium trên hệ thống để tìm kiếm các luồng khách hàng mới liên tục cho các chuyến đi biển tiếp theo.</w:t>
      </w:r>
    </w:p>
    <w:p>
      <w:pPr>
        <w:ind w:left="360"/>
      </w:pPr>
      <w:r>
        <w:rPr>
          <w:b/>
        </w:rPr>
        <w:t xml:space="preserve">2. Phí Dịch vụ Liên kết Logistics và Quảng cáo bản địa: </w:t>
      </w:r>
      <w:r>
        <w:t>Tích hợp các bên thứ ba giao vận và thu phí hoa hồng giới thiệu đơn giao hàng. Đồng thời, hiển thị quảng cáo có mục tiêu cho các cửa hàng nước chấm, gia vị làm đồ hải sản, dụng cụ chế biến ngay trên mục Công thức ẩm thực (Recipes) của ứng dụng.</w:t>
      </w:r>
    </w:p>
    <w:p>
      <w:pPr>
        <w:spacing w:before="120"/>
      </w:pPr>
      <w:r>
        <w:rPr>
          <w:rFonts w:ascii="Calibri" w:hAnsi="Calibri"/>
          <w:b/>
          <w:color w:val="0369A1"/>
          <w:sz w:val="24"/>
        </w:rPr>
        <w:t>3.2 Chiến lược Giữ chân Người dùng và Ngăn chặn Bypass Sàn</w:t>
      </w:r>
    </w:p>
    <w:p>
      <w:r>
        <w:rPr>
          <w:b/>
        </w:rPr>
        <w:t xml:space="preserve">• Đối với Người mua (Buyers): </w:t>
      </w:r>
      <w:r>
        <w:t>Giao dịch ngoài sàn đồng nghĩa với việc chấp nhận rủi ro mất tiền cọc, nhận hàng kém chất lượng, hàng ươn hỏng mà không có bất cứ sự bảo vệ nào. Trong khi đó, giao dịch qua sàn giúp người mua kiểm soát được mức độ uy tín của ngư dân dựa trên Hệ thống đánh giá xếp hạng sao (Reviews) thực tế và lịch sử báo cáo vi phạm (Reports) của cộng đồng.</w:t>
      </w:r>
    </w:p>
    <w:p>
      <w:r>
        <w:rPr>
          <w:b/>
        </w:rPr>
        <w:t xml:space="preserve">• Đối với Ngư dân (Sellers): </w:t>
      </w:r>
      <w:r>
        <w:t>Uy tín số (Digital Reputation) là tài sản lớn nhất của ngư dân trên app. Hồ sơ hiển thị số lượng bài bán thành công, điểm rating 5 sao, nhật ký Cabin biển khơi (Boat Logs) tạo lòng tin tuyệt đối cho khách hàng mới. Nếu họ giao dịch ẩn ngoài sàn, họ tự tay vứt bỏ cơ hội tích lũy điểm uy tín này. Hơn nữa, sàn cung cấp biểu đồ Lịch sử biến động giá (Price History) giúp ngư dân nắm bắt giá thị trường, không bị thương lái chèn ép.</w:t>
      </w:r>
    </w:p>
    <w:p>
      <w:pPr>
        <w:spacing w:before="240" w:after="120"/>
      </w:pPr>
      <w:r>
        <w:rPr>
          <w:rFonts w:ascii="Calibri" w:hAnsi="Calibri"/>
          <w:b/>
          <w:color w:val="1E3A8A"/>
          <w:sz w:val="28"/>
        </w:rPr>
        <w:t>CHƯƠNG IV: CÁC VẤN ĐỀ KỸ THUẬT ĐÃ GIẢI QUYẾT (PROBLEMS SOLVED)</w:t>
      </w:r>
    </w:p>
    <w:p>
      <w:r>
        <w:t>Dưới đây là các giải pháp kỹ thuật phức tạp đã được triển khai hoàn chỉnh trong mã nguồn dự án để giải quyết các thách thức vận hành:</w:t>
      </w:r>
    </w:p>
    <w:p>
      <w:pPr>
        <w:ind w:left="360"/>
      </w:pPr>
      <w:r>
        <w:rPr>
          <w:b/>
        </w:rPr>
        <w:t xml:space="preserve">1. Tái cấu trúc Backend sang Domain-Driven Design (DDD) &amp; Hexagonal: </w:t>
      </w:r>
      <w:r>
        <w:t>Thay vì mô hình MVC thông thường dễ bị phình to lớp Service làm rối loạn luồng logic khi dự án phát triển, backend đã được cấu trúc lại hoàn toàn theo DDD. Tách biệt logic nghiệp vụ cốt lõi vào tầng Domain tinh khiết, giao tiếp với bên ngoài qua các Ports và Adapters. Thiết lập Anti-Corruption Layer (ACL - Lớp chống tham nhũng) để các phần code cũ không làm ô nhiễm cấu trúc miền dữ liệu mới nâng cấp.</w:t>
      </w:r>
    </w:p>
    <w:p>
      <w:pPr>
        <w:ind w:left="360"/>
      </w:pPr>
      <w:r>
        <w:rPr>
          <w:b/>
        </w:rPr>
        <w:t xml:space="preserve">2. Cơ chế Xóa tài khoản Cascade GDPR (Quyền được quên) an toàn: </w:t>
      </w:r>
      <w:r>
        <w:t>Khi người dùng yêu cầu xóa tài khoản, hệ thống sử dụng MongoDB ACID Transactions thực hiện xóa đồng bộ dây chuyền ở tất cả các collection liên quan: rút ID khỏi mảng following/favorites của các tài khoản khác, xóa sạch các sản phẩm đăng bán, tin nhắn chat, lượt bình luận diễn đàn, công thức ẩm thực, và nhật ký boatlogs. Sau đó, tiến hành xóa khóa phiên làm việc trong Redis và gọi Cloudinary API để giải phóng hoàn toàn dung lượng ảnh lưu trữ trên Cloud CDN.</w:t>
      </w:r>
    </w:p>
    <w:p>
      <w:pPr>
        <w:ind w:left="360"/>
      </w:pPr>
      <w:r>
        <w:rPr>
          <w:b/>
        </w:rPr>
        <w:t xml:space="preserve">3. Thiết kế Chỉ mục (Indexes) Cơ sở dữ liệu tối ưu: </w:t>
      </w:r>
      <w:r>
        <w:t>Cấu hình GeoJSON '2dsphere' cho việc tìm kiếm tọa độ GPS mặt cầu. Thiết lập Compound Index { status: 1, type: 1, bumpedAt: -1 } cho feed trang chủ giúp lọc tin đăng kích hoạt và sắp xếp theo thời gian đẩy bài mới nhất cực nhanh dưới 80ms mà không gây lỗi tràn bộ nhớ (In-memory Sort Error) trên MongoDB.</w:t>
      </w:r>
    </w:p>
    <w:p>
      <w:pPr>
        <w:ind w:left="360"/>
      </w:pPr>
      <w:r>
        <w:rPr>
          <w:b/>
        </w:rPr>
        <w:t xml:space="preserve">4. Bảo mật cấp doanh nghiệp: </w:t>
      </w:r>
      <w:r>
        <w:t>Ngăn chặn Timing Attack bằng cách so khớp thời gian không đổi (safeCompare) cho Webhook API. Chống CSRF bằng cơ chế Double Submit Cookie. Tích hợp express-rate-limit đa cấp độ (Rate Limit 20 req/15p cho đăng nhập và 5 tin nhắn/2 giây trên luồng chat Socket.io).</w:t>
      </w:r>
    </w:p>
    <w:p>
      <w:pPr>
        <w:spacing w:before="240" w:after="120"/>
      </w:pPr>
      <w:r>
        <w:rPr>
          <w:rFonts w:ascii="Calibri" w:hAnsi="Calibri"/>
          <w:b/>
          <w:color w:val="1E3A8A"/>
          <w:sz w:val="28"/>
        </w:rPr>
        <w:t>CHƯƠNG V: CÁC VẤN ĐỀ CẦN GIẢI QUYẾT (PROBLEMS TO RESOLVE)</w:t>
      </w:r>
    </w:p>
    <w:p>
      <w:r>
        <w:t>Để đưa hệ thống ra vận hành thực tế ở quy mô lớn, nhóm đã nhận diện các thách thức kỹ thuật và chuẩn bị sẵn sàng các phương án giải quyết:</w:t>
      </w:r>
    </w:p>
    <w:p>
      <w:pPr>
        <w:ind w:left="360"/>
      </w:pPr>
      <w:r>
        <w:rPr>
          <w:b/>
        </w:rPr>
        <w:t xml:space="preserve">1. Vấn đề mất kết nối WebRTC khi chạy 4G/5G (Symmetric NAT): </w:t>
      </w:r>
      <w:r>
        <w:t>Mô hình P2P trực tiếp hoạt động tốt ở môi trường mạng nội bộ hoặc WiFi gia đình (qua STUN Server để lấy IP public). Tuy nhiên trong thực tế mạng di động 4G/5G Việt Nam sử dụng cấu hình NAT đối xứng (Symmetric NAT) ngăn chặn kết nối P2P trực tiếp. Phương án giải quyết: Nhóm sẽ tích hợp thêm TURN Server (sử dụng phần mềm mã nguồn mở Coturn) chạy trên một máy chủ cloud riêng. TURN Server sẽ làm trạm trung chuyển chuyển tiếp luồng media khi kết nối P2P thất bại, đảm bảo tỷ lệ gọi video thành công 100%.</w:t>
      </w:r>
    </w:p>
    <w:p>
      <w:pPr>
        <w:ind w:left="360"/>
      </w:pPr>
      <w:r>
        <w:rPr>
          <w:b/>
        </w:rPr>
        <w:t xml:space="preserve">2. Tích hợp đối tác giao vận thông minh (3PL Logistics): </w:t>
      </w:r>
      <w:r>
        <w:t>Hiện tại việc giao nhận là thỏa thuận tự phát. Nhóm dự kiến tích hợp các API dịch vụ giao hàng chặng ngắn (AhaMove, GrabExpress) và giao hàng liên tỉnh (Giaohangtietkiem). Hệ thống sẽ lấy tọa độ định vị GPS của người mua và người bán gửi tới API của bên vận chuyển để tính toán phí ship tự động và tạo đơn vận chuyển trực tiếp ngay khi giao dịch được xác nhận.</w:t>
      </w:r>
    </w:p>
    <w:p>
      <w:pPr>
        <w:ind w:left="360"/>
      </w:pPr>
      <w:r>
        <w:rPr>
          <w:b/>
        </w:rPr>
        <w:t xml:space="preserve">3. Triển khai tài khoản ký quỹ trung gian (Escrow Account) bảo vệ người mua: </w:t>
      </w:r>
      <w:r>
        <w:t>Để loại bỏ hoàn toàn việc lừa đảo mất cọc hoặc giao hàng kém chất lượng, hệ thống sẽ tích hợp mô hình ví điện tử trung gian. Người mua chuyển khoản và tiền sẽ được giữ ở trạng thái tạm khóa trên hệ thống. Chỉ khi người mua nhận được hải sản, xác nhận hàng đúng chất lượng hoặc sau một khoảng thời gian tự động (ví dụ: 2 giờ kể từ khi ship báo đã giao thành công), tiền mới được giải ngân về ví của ngư dân.</w:t>
      </w:r>
    </w:p>
    <w:p>
      <w:pPr>
        <w:ind w:left="360"/>
      </w:pPr>
      <w:r>
        <w:rPr>
          <w:b/>
        </w:rPr>
        <w:t xml:space="preserve">4. Tối ưu hóa truy vấn GPS khi quy mô người dùng tăng hàng triệu bài đăng: </w:t>
      </w:r>
      <w:r>
        <w:t>Khi lượng bài đăng hải sản cực lớn, việc tính toán khoảng cách mặt cầu thời gian thực sẽ gây tải lớn cho CPU của cơ sở dữ liệu. Nhóm sẽ áp dụng giải pháp phân vùng sharding dữ liệu theo mã bưu chính địa lý hoặc sử dụng Redis Geospatial làm bộ đệm cache danh sách tọa độ của các mẻ hàng đang hoạt động để giảm tải cho MongoDB.</w:t>
      </w:r>
    </w:p>
    <w:p>
      <w:pPr>
        <w:spacing w:before="240" w:after="120"/>
      </w:pPr>
      <w:r>
        <w:rPr>
          <w:rFonts w:ascii="Calibri" w:hAnsi="Calibri"/>
          <w:b/>
          <w:color w:val="1E3A8A"/>
          <w:sz w:val="28"/>
        </w:rPr>
        <w:t>CHƯƠNG VI: BỘ CÂU HỎI PHẢN BIỆN GIẢ ĐỊNH &amp; HƯỚNG DẪN TRẢ LỜI</w:t>
      </w:r>
    </w:p>
    <w:p>
      <w:pPr>
        <w:spacing w:before="80"/>
      </w:pPr>
      <w:r>
        <w:rPr>
          <w:b/>
        </w:rPr>
        <w:t>Câu hỏi 1: Tại sao hệ thống lại chọn MongoDB làm Database chính thay vì SQL Server hay MySQL?</w:t>
      </w:r>
    </w:p>
    <w:p>
      <w:pPr>
        <w:ind w:left="360"/>
      </w:pPr>
      <w:r>
        <w:rPr>
          <w:b/>
        </w:rPr>
        <w:t xml:space="preserve">Trả lời: </w:t>
      </w:r>
      <w:r>
        <w:t>1. Dữ liệu của HảiSản.vn có cấu trúc linh hoạt và thay đổi nhanh (ví dụ: sản phẩm Fresh cần GPS, thời gian đánh bắt; sản phẩm Dried cần hạn sử dụng, xuất xứ; các tin nhắn chat có thể đính kèm ảnh hoặc tọa độ). MongoDB là NoSQL giúp lưu trữ dạng JSON-like tài liệu linh hoạt mà không cần migrate schema phức tạp.</w:t>
        <w:br/>
        <w:t>2. MongoDB hỗ trợ chỉ mục GeoJSON '2dsphere' và các toán tử tìm kiếm khoảng cách trắc địa mặt cầu như $near, $geoWithin cực kỳ mạnh mẽ và được tối ưu hóa sẵn ở tầng nhân, giúp nhóm hiện thực hóa tính năng bản đồ định vị GPS nhanh chóng và đạt hiệu năng phản hồi cao hơn nhiều so với việc tự viết các công thức toán học lượng giác phức tạp trên cơ sở dữ liệu SQL truyền thống.</w:t>
      </w:r>
    </w:p>
    <w:p>
      <w:pPr>
        <w:spacing w:before="80"/>
      </w:pPr>
      <w:r>
        <w:rPr>
          <w:b/>
        </w:rPr>
        <w:t>Câu hỏi 2: JWT Stateless token hết hạn sau 15 phút, nếu người dùng đang gọi video call hoặc đang chat mà token hết hạn thì hệ thống xử lý thế nào để không làm gián đoạn trải nghiệm của họ?</w:t>
      </w:r>
    </w:p>
    <w:p>
      <w:pPr>
        <w:ind w:left="360"/>
      </w:pPr>
      <w:r>
        <w:rPr>
          <w:b/>
        </w:rPr>
        <w:t xml:space="preserve">Trả lời: </w:t>
      </w:r>
      <w:r>
        <w:t>Hệ thống triển khai cơ chế Tự động làm mới Token (Silent Token Refresh Rotation) ở phía client:</w:t>
        <w:br/>
        <w:t>- Khi Access Token hết hạn (Server trả về mã lỗi 401), custom hook 'useApiFetch' và interceptor của client sẽ tự động chặn request đó lại.</w:t>
        <w:br/>
        <w:t>- Client lập tức gửi một request ngầm (POST /api/auth/refresh) mang theo Refresh Token lưu trữ an toàn trong HttpOnly Cookie để yêu cầu Access Token mới.</w:t>
        <w:br/>
        <w:t>- Sau khi nhận được Access Token mới, client sẽ tự động thực thi lại request bị lỗi ban đầu. Toàn bộ quá trình này diễn ra ngầm trong khoảng vài trăm mili-giây, người dùng hoàn toàn không nhận biết được và không bị gián đoạn cuộc gọi hay phiên chat.</w:t>
      </w:r>
    </w:p>
    <w:p>
      <w:pPr>
        <w:spacing w:before="80"/>
      </w:pPr>
      <w:r>
        <w:rPr>
          <w:b/>
        </w:rPr>
        <w:t>Câu hỏi 3: Webhook từ Sepay làm cách nào để đảm bảo tính an toàn chống lại việc hacker giả lập request gửi hóa đơn giả để nâng cấp Premium miễn phí?</w:t>
      </w:r>
    </w:p>
    <w:p>
      <w:pPr>
        <w:ind w:left="360"/>
      </w:pPr>
      <w:r>
        <w:rPr>
          <w:b/>
        </w:rPr>
        <w:t xml:space="preserve">Trả lời: </w:t>
      </w:r>
      <w:r>
        <w:t>Nhóm triển khai 3 lớp bảo mật nghiêm ngặt cho endpoint Webhook:</w:t>
        <w:br/>
        <w:t>1. Lớp 1 - Xác thực API Key bảo mật: Trong header gửi từ Sepay bắt buộc phải chứa khóa API Key khớp với biến môi trường SEPAY_WEBHOOK_KEY được lưu trữ an toàn phía server.</w:t>
        <w:br/>
        <w:t>2. Lớp 2 - So sánh an toàn hằng số thời gian (Constant-time comparison): Sử dụng hàm safeCompare chống Timing Attack (tấn công phân tích thời gian phản hồi của CPU để dò tìm khóa bảo mật).</w:t>
        <w:br/>
        <w:t>3. Lớp 3 - Kiểm tra trùng lặp giao dịch (Idempotency): Mỗi giao dịch chuyển khoản gửi lên đều có một ID giao dịch duy nhất từ ngân hàng. Backend kiểm tra ID này trong database, nếu giao dịch đã từng được xử lý thì sẽ lập tức từ chối xử lý lại để tránh tấn công Replay Attack.</w:t>
      </w:r>
    </w:p>
    <w:p>
      <w:pPr>
        <w:spacing w:before="80"/>
      </w:pPr>
      <w:r>
        <w:rPr>
          <w:b/>
        </w:rPr>
        <w:t>Câu hỏi 4: Dự án đã làm thế nào để đảm bảo hệ thống hoạt động ổn định và kiểm soát được các lỗi logic khi thay đổi code?</w:t>
      </w:r>
    </w:p>
    <w:p>
      <w:pPr>
        <w:ind w:left="360"/>
      </w:pPr>
      <w:r>
        <w:rPr>
          <w:b/>
        </w:rPr>
        <w:t xml:space="preserve">Trả lời: </w:t>
      </w:r>
      <w:r>
        <w:t>Nhóm đã xây dựng bộ kiểm thử tự động (Unit &amp; Integration Tests) sử dụng Jest framework với tổng cộng 22 test suites bao phủ toàn bộ các logic cốt lõi như xử lý tài khoản Admin, các chức năng kiểm soát tin đăng hải sản và tài khoản Premium. Bộ test này được chạy tự động trên GitHub Actions thông qua quy trình CI/CD mỗi khi có thành viên đẩy code mới lên github. Nếu bất kỳ thay đổi nào làm hỏng logic cũ, hệ thống CI/CD sẽ báo lỗi đỏ và ngăn chặn việc merge code lỗi vào nhánh chính.</w:t>
      </w:r>
    </w:p>
    <w:p>
      <w:r>
        <w:br/>
      </w:r>
    </w:p>
    <w:p>
      <w:pPr>
        <w:jc w:val="center"/>
      </w:pPr>
      <w:r>
        <w:rPr>
          <w:b/>
          <w:color w:val="0369A1"/>
        </w:rPr>
        <w:t>--- HẾT TÀI LIỆU ---</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