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0F172A"/>
          <w:sz w:val="28"/>
          <w:szCs w:val="28"/>
        </w:rPr>
        <w:t xml:space="preserve">BÁO CÁO PHÂN TÍCH SO SÁNH &amp; CHIẾN LƯỢC TẠO DOANH THU THƯƠNG MẠI (MONETIZATION MODEL)</w:t>
      </w:r>
    </w:p>
    <w:p>
      <w:pPr>
        <w:spacing w:after="360"/>
        <w:jc w:val="center"/>
      </w:pPr>
      <w:r>
        <w:rPr>
          <w:b/>
          <w:bCs/>
          <w:color w:val="0D9488"/>
          <w:sz w:val="22"/>
          <w:szCs w:val="22"/>
        </w:rPr>
        <w:t xml:space="preserve">Dự án HảiSản.vn (sea_shop) — Đánh Giá Hạ Tầng Kỹ Thuật, Quảng Cáo Nhắm Mục Tiêu 2 Phía (Buyer &amp; Seller) &amp; Mô Hình 9 Dòng Doanh Thu</w:t>
      </w:r>
    </w:p>
    <w:p>
      <w:pPr>
        <w:pStyle w:val="Heading1"/>
        <w:spacing w:after="180" w:before="240"/>
      </w:pPr>
      <w:r>
        <w:rPr>
          <w:b/>
          <w:bCs/>
          <w:color w:val="0F172A"/>
          <w:sz w:val="24"/>
          <w:szCs w:val="24"/>
        </w:rPr>
        <w:t xml:space="preserve">CHƯƠNG 1. TỔNG QUAN VỀ KHOẢNG CÁCH GIỮA ĐỒ ÁN VÀ SẢN PHẨM THƯƠNG MẠI THỰC TẾ</w:t>
      </w:r>
    </w:p>
    <w:p>
      <w:pPr>
        <w:spacing w:after="240"/>
      </w:pPr>
      <w:r>
        <w:rPr>
          <w:sz w:val="20"/>
          <w:szCs w:val="20"/>
        </w:rPr>
        <w:t xml:space="preserve">Một dự án đồ án đại học xuất sắc (SWP391) thường tập trung vào việc thể hiện kiến trúc sạch (Clean Architecture), độ bao phủ kiểm thử tự động, giao diện người dùng mượt mà và khả năng giải quyết bài toán nghiệp vụ cốt lõi. Nhóm đã hoàn thành xuất sắc 100% các mục tiêu này.
</w:t>
      </w:r>
      <w:r>
        <w:rPr>
          <w:sz w:val="20"/>
          <w:szCs w:val="20"/>
        </w:rPr>
        <w:t xml:space="preserve">Tuy nhiên, để một mã nguồn chuyển mình thành một </w:t>
      </w:r>
      <w:r>
        <w:rPr>
          <w:b/>
          <w:bCs/>
          <w:color w:val="0D9488"/>
          <w:sz w:val="20"/>
          <w:szCs w:val="20"/>
        </w:rPr>
        <w:t xml:space="preserve">Sản phẩm Thương mại Thực tế (Real Commercial Monetized Product) </w:t>
      </w:r>
      <w:r>
        <w:rPr>
          <w:sz w:val="20"/>
          <w:szCs w:val="20"/>
        </w:rPr>
        <w:t xml:space="preserve">có thể vận hành kinh doanh sinh lời hàng triệu USD, hệ thống đòi hỏi thêm các mắt xích về Quản lý Tài chính (Escrow Wallet), Chuỗi Cung Ứng Lạnh (Cold-Chain Logistics), Quảng cáo nhắm mục tiêu 2 phía và Mô hình Thu Phí Hoa Hồng Sàn.</w:t>
      </w:r>
    </w:p>
    <w:p>
      <w:pPr>
        <w:pStyle w:val="Heading1"/>
        <w:spacing w:after="180" w:before="240"/>
      </w:pPr>
      <w:r>
        <w:rPr>
          <w:b/>
          <w:bCs/>
          <w:color w:val="0F172A"/>
          <w:sz w:val="24"/>
          <w:szCs w:val="24"/>
        </w:rPr>
        <w:t xml:space="preserve">CHƯƠNG 2. BẢNG SO SÁNH ĐỐI CHIẾU CHI TIẾT 7 TIÊU CHÍ KỸ THUẬT &amp; KINH DOANH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0F172A" w:val="clear"/>
            <w:tcMar>
              <w:top w:type="dxa" w:w="140"/>
              <w:left w:type="dxa" w:w="180"/>
              <w:bottom w:type="dxa" w:w="140"/>
              <w:right w:type="dxa" w:w="180"/>
            </w:tcMar>
          </w:tcPr>
          <w:p>
            <w:pPr>
              <w:jc w:val="left"/>
            </w:pPr>
            <w:r>
              <w:rPr>
                <w:b/>
                <w:bCs/>
                <w:color w:val="FFFFFF"/>
                <w:sz w:val="22"/>
                <w:szCs w:val="22"/>
              </w:rPr>
              <w:t xml:space="preserve">TIÊU CHÍ SO SÁNH</w:t>
            </w:r>
          </w:p>
        </w:tc>
        <w:tc>
          <w:tcPr>
            <w:tcW w:type="pct" w:w="35%"/>
            <w:shd w:fill="0F172A" w:val="clear"/>
            <w:tcMar>
              <w:top w:type="dxa" w:w="140"/>
              <w:left w:type="dxa" w:w="180"/>
              <w:bottom w:type="dxa" w:w="140"/>
              <w:right w:type="dxa" w:w="180"/>
            </w:tcMar>
          </w:tcPr>
          <w:p>
            <w:pPr>
              <w:jc w:val="left"/>
            </w:pPr>
            <w:r>
              <w:rPr>
                <w:b/>
                <w:bCs/>
                <w:color w:val="FFFFFF"/>
                <w:sz w:val="22"/>
                <w:szCs w:val="22"/>
              </w:rPr>
              <w:t xml:space="preserve">TRẠNG THÁI HIỆN TẠI (DỰ ÁN SEA_SHOP)</w:t>
            </w:r>
          </w:p>
        </w:tc>
        <w:tc>
          <w:tcPr>
            <w:tcW w:type="pct" w:w="40%"/>
            <w:shd w:fill="0F172A" w:val="clear"/>
            <w:tcMar>
              <w:top w:type="dxa" w:w="140"/>
              <w:left w:type="dxa" w:w="180"/>
              <w:bottom w:type="dxa" w:w="140"/>
              <w:right w:type="dxa" w:w="180"/>
            </w:tcMar>
          </w:tcPr>
          <w:p>
            <w:pPr>
              <w:jc w:val="left"/>
            </w:pPr>
            <w:r>
              <w:rPr>
                <w:b/>
                <w:bCs/>
                <w:color w:val="FFFFFF"/>
                <w:sz w:val="22"/>
                <w:szCs w:val="22"/>
              </w:rPr>
              <w:t xml:space="preserve">YÊU CẦU SẢN PHẨM THƯƠNG MẠI THỰC TẾ (REAL PRODUCT)</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1. Mô Hình Thanh Toán (Payment)</w:t>
            </w:r>
          </w:p>
        </w:tc>
        <w:tc>
          <w:tcPr>
            <w:tcW w:type="pct" w:w="3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 Chuyển khoản ngân hàng trực tiếp / Webhook Sepay</w:t>
            </w:r>
          </w:p>
          <w:p>
            <w:pPr>
              <w:spacing w:after="80"/>
            </w:pPr>
            <w:r>
              <w:rPr>
                <w:b w:val="false"/>
                <w:bCs w:val="false"/>
                <w:color w:val="1E293B"/>
                <w:sz w:val="20"/>
                <w:szCs w:val="20"/>
              </w:rPr>
              <w:t xml:space="preserve">• Giao dịch thỏa thuận 1-1 giữa Buyer &amp; Seller</w:t>
            </w:r>
          </w:p>
        </w:tc>
        <w:tc>
          <w:tcPr>
            <w:tcW w:type="pct" w:w="4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 Tài Khoản Tạm Giữ Trung Gian (Escrow Payment Account)</w:t>
            </w:r>
          </w:p>
          <w:p>
            <w:pPr>
              <w:spacing w:after="80"/>
            </w:pPr>
            <w:r>
              <w:rPr>
                <w:b w:val="false"/>
                <w:bCs w:val="false"/>
                <w:color w:val="1E293B"/>
                <w:sz w:val="20"/>
                <w:szCs w:val="20"/>
              </w:rPr>
              <w:t xml:space="preserve">• Khóa tiền khi đặt ➔ Giải ngân cho Ngư dân sau khi Buyer bấm 'Cá còn tươi'.</w:t>
            </w:r>
          </w:p>
          <w:p>
            <w:pPr>
              <w:spacing w:after="80"/>
            </w:pPr>
            <w:r>
              <w:rPr>
                <w:b w:val="false"/>
                <w:bCs w:val="false"/>
                <w:color w:val="1E293B"/>
                <w:sz w:val="20"/>
                <w:szCs w:val="20"/>
              </w:rPr>
              <w:t xml:space="preserve">• Tự động trừ phí hoa hồng sàn (Take Rate 3-5%).</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2. Logistics &amp; Vận Chuyển Lạnh</w:t>
            </w:r>
          </w:p>
        </w:tc>
        <w:tc>
          <w:tcPr>
            <w:tcW w:type="pct" w:w="3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 Người mua &amp; Người bán tự thỏa thuận địa điểm nhận hải sản trên bản đồ</w:t>
            </w:r>
          </w:p>
        </w:tc>
        <w:tc>
          <w:tcPr>
            <w:tcW w:type="pct" w:w="4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 Tích hợp API Đơn vị Vận chuyển Lạnh (Ahamove / Lalamove Cold-Chain)</w:t>
            </w:r>
          </w:p>
          <w:p>
            <w:pPr>
              <w:spacing w:after="80"/>
            </w:pPr>
            <w:r>
              <w:rPr>
                <w:b w:val="false"/>
                <w:bCs w:val="false"/>
                <w:color w:val="1E293B"/>
                <w:sz w:val="20"/>
                <w:szCs w:val="20"/>
              </w:rPr>
              <w:t xml:space="preserve">• Tự tính phí ship đông lạnh theo mét</w:t>
            </w:r>
          </w:p>
          <w:p>
            <w:pPr>
              <w:spacing w:after="80"/>
            </w:pPr>
            <w:r>
              <w:rPr>
                <w:b w:val="false"/>
                <w:bCs w:val="false"/>
                <w:color w:val="1E293B"/>
                <w:sz w:val="20"/>
                <w:szCs w:val="20"/>
              </w:rPr>
              <w:t xml:space="preserve">• Tracking lộ trình tài xế thời gian thực trên bản đồ.</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3. Xác Minh Danh Tính (eKYC)</w:t>
            </w:r>
          </w:p>
        </w:tc>
        <w:tc>
          <w:tcPr>
            <w:tcW w:type="pct" w:w="3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 Admin kiểm duyệt hồ sơ CCCD/Tàu cá thủ công trong trang Admin Dashboard</w:t>
            </w:r>
          </w:p>
        </w:tc>
        <w:tc>
          <w:tcPr>
            <w:tcW w:type="pct" w:w="4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 Tự động hóa eKYC (AI OCR quét mặt CCCD &amp; Số hiệu tàu cá)</w:t>
            </w:r>
          </w:p>
          <w:p>
            <w:pPr>
              <w:spacing w:after="80"/>
            </w:pPr>
            <w:r>
              <w:rPr>
                <w:b w:val="false"/>
                <w:bCs w:val="false"/>
                <w:color w:val="1E293B"/>
                <w:sz w:val="20"/>
                <w:szCs w:val="20"/>
              </w:rPr>
              <w:t xml:space="preserve">• Đối chiếu trực tiếp dữ liệu Bộ Nông nghiệp &amp; Phát triển Nông thôn để cấp Tích Xanh tức thì.</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4. Mô Hình Doanh Thu (Monetization)</w:t>
            </w:r>
          </w:p>
        </w:tc>
        <w:tc>
          <w:tcPr>
            <w:tcW w:type="pct" w:w="3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 Huy hiệu Tích xanh &amp; Nâng cấp gói Premium cơ bản</w:t>
            </w:r>
          </w:p>
        </w:tc>
        <w:tc>
          <w:tcPr>
            <w:tcW w:type="pct" w:w="4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 Đa dạng 9 luồng doanh thu (Multi Revenue Streams):</w:t>
            </w:r>
          </w:p>
          <w:p>
            <w:pPr>
              <w:spacing w:after="80"/>
            </w:pPr>
            <w:r>
              <w:rPr>
                <w:b w:val="false"/>
                <w:bCs w:val="false"/>
                <w:color w:val="1E293B"/>
                <w:sz w:val="20"/>
                <w:szCs w:val="20"/>
              </w:rPr>
              <w:t xml:space="preserve">  1. Phí hoa hồng sàn (3-5% GMV)</w:t>
            </w:r>
          </w:p>
          <w:p>
            <w:pPr>
              <w:spacing w:after="80"/>
            </w:pPr>
            <w:r>
              <w:rPr>
                <w:b w:val="false"/>
                <w:bCs w:val="false"/>
                <w:color w:val="1E293B"/>
                <w:sz w:val="20"/>
                <w:szCs w:val="20"/>
              </w:rPr>
              <w:t xml:space="preserve">  2. Phí Quảng cáo Nước chấm &amp; Đồ chế biến (Buyer-Side Ads)</w:t>
            </w:r>
          </w:p>
          <w:p>
            <w:pPr>
              <w:spacing w:after="80"/>
            </w:pPr>
            <w:r>
              <w:rPr>
                <w:b w:val="false"/>
                <w:bCs w:val="false"/>
                <w:color w:val="1E293B"/>
                <w:sz w:val="20"/>
                <w:szCs w:val="20"/>
              </w:rPr>
              <w:t xml:space="preserve">  3. Phí Quảng cáo Ngư cụ &amp; Động cơ tàu (Seller-Side Ads)</w:t>
            </w:r>
          </w:p>
          <w:p>
            <w:pPr>
              <w:spacing w:after="80"/>
            </w:pPr>
            <w:r>
              <w:rPr>
                <w:b w:val="false"/>
                <w:bCs w:val="false"/>
                <w:color w:val="1E293B"/>
                <w:sz w:val="20"/>
                <w:szCs w:val="20"/>
              </w:rPr>
              <w:t xml:space="preserve">  4. Phí hội viên VIP &amp; Đẩy bài.</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5. Khả Năng Offline Trên Biển (Mobile)</w:t>
            </w:r>
          </w:p>
        </w:tc>
        <w:tc>
          <w:tcPr>
            <w:tcW w:type="pct" w:w="3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 Web SPA chạy trên trình duyệt di động</w:t>
            </w:r>
          </w:p>
        </w:tc>
        <w:tc>
          <w:tcPr>
            <w:tcW w:type="pct" w:w="4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 Native Mobile App (React Native / Flutter) với Offline-First Storage:</w:t>
            </w:r>
          </w:p>
          <w:p>
            <w:pPr>
              <w:spacing w:after="80"/>
            </w:pPr>
            <w:r>
              <w:rPr>
                <w:b w:val="false"/>
                <w:bCs w:val="false"/>
                <w:color w:val="1E293B"/>
                <w:sz w:val="20"/>
                <w:szCs w:val="20"/>
              </w:rPr>
              <w:t xml:space="preserve">• Ngư dân ghi Nhật ký Cabin khi mất sóng ngoài khơi, tự đồng bộ DB khi tàu về có sóng 4G/5G.</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6. Định Giá AI (Dynamic Pricing)</w:t>
            </w:r>
          </w:p>
        </w:tc>
        <w:tc>
          <w:tcPr>
            <w:tcW w:type="pct" w:w="3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 Giá sản phẩm cố định do người bán tự nhập thủ công</w:t>
            </w:r>
          </w:p>
        </w:tc>
        <w:tc>
          <w:tcPr>
            <w:tcW w:type="pct" w:w="4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 AI Engine Định Giá Theo Mùa &amp; Thời Tiết Biển:</w:t>
            </w:r>
          </w:p>
          <w:p>
            <w:pPr>
              <w:spacing w:after="80"/>
            </w:pPr>
            <w:r>
              <w:rPr>
                <w:b w:val="false"/>
                <w:bCs w:val="false"/>
                <w:color w:val="1E293B"/>
                <w:sz w:val="20"/>
                <w:szCs w:val="20"/>
              </w:rPr>
              <w:t xml:space="preserve">• AI phân tích lịch âm (ngày trăng tròn/khuyết), thời tiết và sản lượng để gợi ý giá bán tối ưu cho ngư dân (chống ép giá).</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7. Giám Sát Hạ Tầng (Observability)</w:t>
            </w:r>
          </w:p>
        </w:tc>
        <w:tc>
          <w:tcPr>
            <w:tcW w:type="pct" w:w="3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 Winston Logger + Redis Rate Limiter + Swagger UI</w:t>
            </w:r>
          </w:p>
        </w:tc>
        <w:tc>
          <w:tcPr>
            <w:tcW w:type="pct" w:w="4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 Monitoring &amp; Alerting Chuyên Nghiệp:</w:t>
            </w:r>
          </w:p>
          <w:p>
            <w:pPr>
              <w:spacing w:after="80"/>
            </w:pPr>
            <w:r>
              <w:rPr>
                <w:b w:val="false"/>
                <w:bCs w:val="false"/>
                <w:color w:val="1E293B"/>
                <w:sz w:val="20"/>
                <w:szCs w:val="20"/>
              </w:rPr>
              <w:t xml:space="preserve">• Prometheus + Grafana Dashboard theo dõi CPU, Memory, Uptime.</w:t>
            </w:r>
          </w:p>
          <w:p>
            <w:pPr>
              <w:spacing w:after="80"/>
            </w:pPr>
            <w:r>
              <w:rPr>
                <w:b w:val="false"/>
                <w:bCs w:val="false"/>
                <w:color w:val="1E293B"/>
                <w:sz w:val="20"/>
                <w:szCs w:val="20"/>
              </w:rPr>
              <w:t xml:space="preserve">• Tự động bắn tin nhắn Telegram/SMS cho DevOps khi Server nghẽn.</w:t>
            </w:r>
          </w:p>
        </w:tc>
      </w:tr>
    </w:tbl>
    <w:p>
      <w:pPr>
        <w:spacing w:after="240"/>
      </w:pPr>
    </w:p>
    <w:p>
      <w:pPr>
        <w:pStyle w:val="Heading1"/>
        <w:spacing w:after="180" w:before="240"/>
      </w:pPr>
      <w:r>
        <w:rPr>
          <w:b/>
          <w:bCs/>
          <w:color w:val="0F172A"/>
          <w:sz w:val="24"/>
          <w:szCs w:val="24"/>
        </w:rPr>
        <w:t xml:space="preserve">CHƯƠNG 3. CHIẾN LƯỢC QUẢNG CÁO NHẮM MỤC TIÊU 2 PHÍA &amp; MÔ HÌNH 9 DÒNG DOANH THU ĐA KÊNH</w:t>
      </w:r>
    </w:p>
    <w:p>
      <w:pPr>
        <w:spacing w:after="240"/>
      </w:pPr>
      <w:r>
        <w:rPr>
          <w:sz w:val="20"/>
          <w:szCs w:val="20"/>
        </w:rPr>
        <w:t xml:space="preserve">Điểm đột phá tài chính của HảiSản.vn là mô hình </w:t>
      </w:r>
      <w:r>
        <w:rPr>
          <w:b/>
          <w:bCs/>
          <w:color w:val="0D9488"/>
          <w:sz w:val="20"/>
          <w:szCs w:val="20"/>
        </w:rPr>
        <w:t xml:space="preserve">Quảng Cáo Ngữ Cảnh Nhắm Mục Tiêu 2 Phía (2-Sided Contextual Advertising) </w:t>
      </w:r>
      <w:r>
        <w:rPr>
          <w:sz w:val="20"/>
          <w:szCs w:val="20"/>
        </w:rPr>
        <w:t xml:space="preserve">phục vụ đồng thời cả Người mua (Buyer) lẫn Ngư dân (Seller):
</w:t>
      </w:r>
      <w:r>
        <w:rPr>
          <w:b/>
          <w:bCs/>
        </w:rPr>
        <w:t xml:space="preserve">• Quảng cáo Phía Người Mua (Buyer-Side Ads): </w:t>
      </w:r>
      <w:r>
        <w:t xml:space="preserve">Khi Người mua xem trang chi tiết Tôm hùm, Mực lá hay Cua Cà Mau, hệ thống tự động hiển thị Banner/Widget gợi ý các loại nước chấm đặc sản (Muối Ớt Xanh Nha Trang, Nước Mắm Nhĩ Phú Quốc, Muối Tiêu Chanh) và gia vị chế biến hải sản. Thu phí hoa hồng Affiliate 10-15% hoặc phí quảng cáo thương hiệu.
</w:t>
      </w:r>
      <w:r>
        <w:rPr>
          <w:b/>
          <w:bCs/>
        </w:rPr>
        <w:t xml:space="preserve">• Quảng cáo Phía Ngư Dân / Người Bán (Seller-Side Ads): </w:t>
      </w:r>
      <w:r>
        <w:t xml:space="preserve">Khi Ngư dân đăng mẻ cá hoặc viết Nhật ký Cabin (Boat Log), hệ thống tự động gợi ý Banner các đại lý bán Ngư cụ, Động cơ thủy (Yanmar, Yamaha), Máy dò cá Sonar Garmin, Đèn LED đánh bắt mực, Thùng đá giữ nhiệt công nghiệp và Sơn chống hàu đáy tàu. Cho thuê vị trí Banner độc quyền (5-10 triệu/tháng/đại lý).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0F172A" w:val="clear"/>
            <w:tcMar>
              <w:top w:type="dxa" w:w="140"/>
              <w:left w:type="dxa" w:w="180"/>
              <w:bottom w:type="dxa" w:w="140"/>
              <w:right w:type="dxa" w:w="180"/>
            </w:tcMar>
          </w:tcPr>
          <w:p>
            <w:pPr>
              <w:jc w:val="left"/>
            </w:pPr>
            <w:r>
              <w:rPr>
                <w:b/>
                <w:bCs/>
                <w:color w:val="FFFFFF"/>
                <w:sz w:val="22"/>
                <w:szCs w:val="22"/>
              </w:rPr>
              <w:t xml:space="preserve">DÒNG DOANH THU (REVENUE STREAM)</w:t>
            </w:r>
          </w:p>
        </w:tc>
        <w:tc>
          <w:tcPr>
            <w:tcW w:type="pct" w:w="45%"/>
            <w:shd w:fill="0F172A" w:val="clear"/>
            <w:tcMar>
              <w:top w:type="dxa" w:w="140"/>
              <w:left w:type="dxa" w:w="180"/>
              <w:bottom w:type="dxa" w:w="140"/>
              <w:right w:type="dxa" w:w="180"/>
            </w:tcMar>
          </w:tcPr>
          <w:p>
            <w:pPr>
              <w:jc w:val="left"/>
            </w:pPr>
            <w:r>
              <w:rPr>
                <w:b/>
                <w:bCs/>
                <w:color w:val="FFFFFF"/>
                <w:sz w:val="22"/>
                <w:szCs w:val="22"/>
              </w:rPr>
              <w:t xml:space="preserve">MÔ TẢ NGHIỆP VỤ &amp; CƠ CHẾ THU PHÍ</w:t>
            </w:r>
          </w:p>
        </w:tc>
        <w:tc>
          <w:tcPr>
            <w:tcW w:type="pct" w:w="25%"/>
            <w:shd w:fill="0F172A" w:val="clear"/>
            <w:tcMar>
              <w:top w:type="dxa" w:w="140"/>
              <w:left w:type="dxa" w:w="180"/>
              <w:bottom w:type="dxa" w:w="140"/>
              <w:right w:type="dxa" w:w="180"/>
            </w:tcMar>
          </w:tcPr>
          <w:p>
            <w:pPr>
              <w:jc w:val="left"/>
            </w:pPr>
            <w:r>
              <w:rPr>
                <w:b/>
                <w:bCs/>
                <w:color w:val="FFFFFF"/>
                <w:sz w:val="22"/>
                <w:szCs w:val="22"/>
              </w:rPr>
              <w:t xml:space="preserve">DỰ BÁO TỶ TRỌNG DOANH THU</w:t>
            </w:r>
          </w:p>
        </w:tc>
      </w:tr>
      <w:tr>
        <w:tc>
          <w:tcPr>
            <w:tcW w:type="pct" w:w="3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1. Phí Hoa Hồng Giao Dịch Sàn</w:t>
            </w:r>
          </w:p>
          <w:p>
            <w:pPr>
              <w:spacing w:after="80"/>
            </w:pPr>
            <w:r>
              <w:rPr>
                <w:b/>
                <w:bCs/>
                <w:color w:val="1E293B"/>
                <w:sz w:val="20"/>
                <w:szCs w:val="20"/>
              </w:rPr>
              <w:t xml:space="preserve">(Transaction Fee / Take Rate)</w:t>
            </w:r>
          </w:p>
        </w:tc>
        <w:tc>
          <w:tcPr>
            <w:tcW w:type="pct" w:w="4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Thu từ 3% - 5% trên mỗi giao dịch mẻ cá thành công được giải ngân qua tài khoản trung gian Escrow.</w:t>
            </w:r>
          </w:p>
        </w:tc>
        <w:tc>
          <w:tcPr>
            <w:tcW w:type="pct" w:w="2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40% Tổng Doanh Thu</w:t>
            </w:r>
          </w:p>
        </w:tc>
      </w:tr>
      <w:tr>
        <w:tc>
          <w:tcPr>
            <w:tcW w:type="pct" w:w="3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2. QC Nước Chấm &amp; Gia Vị Hải Sản</w:t>
            </w:r>
          </w:p>
          <w:p>
            <w:pPr>
              <w:spacing w:after="80"/>
            </w:pPr>
            <w:r>
              <w:rPr>
                <w:b/>
                <w:bCs/>
                <w:color w:val="1E293B"/>
                <w:sz w:val="20"/>
                <w:szCs w:val="20"/>
              </w:rPr>
              <w:t xml:space="preserve">(Buyer-Side Sauce &amp; Condiment Ads)</w:t>
            </w:r>
          </w:p>
        </w:tc>
        <w:tc>
          <w:tcPr>
            <w:tcW w:type="pct" w:w="4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Gợi ý mua kèm Muối ớt xanh, Nước mắm nhĩ Phú Quốc, Sốt bơ tỏi khi người mua chọn hải sản. Thu 10-15% hoa hồng Affiliate hoặc Banner tài trợ.</w:t>
            </w:r>
          </w:p>
        </w:tc>
        <w:tc>
          <w:tcPr>
            <w:tcW w:type="pct" w:w="2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15% Tổng Doanh Thu</w:t>
            </w:r>
          </w:p>
        </w:tc>
      </w:tr>
      <w:tr>
        <w:tc>
          <w:tcPr>
            <w:tcW w:type="pct" w:w="3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3. QC Thiết Bị Tàu Thuyền &amp; Ngư Cụ</w:t>
            </w:r>
          </w:p>
          <w:p>
            <w:pPr>
              <w:spacing w:after="80"/>
            </w:pPr>
            <w:r>
              <w:rPr>
                <w:b/>
                <w:bCs/>
                <w:color w:val="1E293B"/>
                <w:sz w:val="20"/>
                <w:szCs w:val="20"/>
              </w:rPr>
              <w:t xml:space="preserve">(Seller-Side Marine Gear Ads)</w:t>
            </w:r>
          </w:p>
        </w:tc>
        <w:tc>
          <w:tcPr>
            <w:tcW w:type="pct" w:w="4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Gợi ý động cơ tàu Yanmar, máy dò cá Garmin, đèn LED câu mực, thùng đá công nghiệp cho ngư dân. Cho thuê Banner 5-10 triệu/tháng/đại lý.</w:t>
            </w:r>
          </w:p>
        </w:tc>
        <w:tc>
          <w:tcPr>
            <w:tcW w:type="pct" w:w="2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15% Tổng Doanh Thu</w:t>
            </w:r>
          </w:p>
        </w:tc>
      </w:tr>
      <w:tr>
        <w:tc>
          <w:tcPr>
            <w:tcW w:type="pct" w:w="3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4. Phí Hội Viên Ngư Dân VIP</w:t>
            </w:r>
          </w:p>
          <w:p>
            <w:pPr>
              <w:spacing w:after="80"/>
            </w:pPr>
            <w:r>
              <w:rPr>
                <w:b/>
                <w:bCs/>
                <w:color w:val="1E293B"/>
                <w:sz w:val="20"/>
                <w:szCs w:val="20"/>
              </w:rPr>
              <w:t xml:space="preserve">(Fisherman Subscription)</w:t>
            </w:r>
          </w:p>
        </w:tc>
        <w:tc>
          <w:tcPr>
            <w:tcW w:type="pct" w:w="4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Thu phí 199.000 VNĐ/tháng (hoặc 1.990.000 VNĐ/năm) để cấp Huy Hiệu Tích Xanh, ưu tiên hiển thị mẻ cá và phân tích giá thị trường.</w:t>
            </w:r>
          </w:p>
        </w:tc>
        <w:tc>
          <w:tcPr>
            <w:tcW w:type="pct" w:w="2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10% Tổng Doanh Thu</w:t>
            </w:r>
          </w:p>
        </w:tc>
      </w:tr>
      <w:tr>
        <w:tc>
          <w:tcPr>
            <w:tcW w:type="pct" w:w="3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5. Phí Đẩy Bài &amp; Vị Trí Nổi Bật</w:t>
            </w:r>
          </w:p>
          <w:p>
            <w:pPr>
              <w:spacing w:after="80"/>
            </w:pPr>
            <w:r>
              <w:rPr>
                <w:b/>
                <w:bCs/>
                <w:color w:val="1E293B"/>
                <w:sz w:val="20"/>
                <w:szCs w:val="20"/>
              </w:rPr>
              <w:t xml:space="preserve">(Featured Listing &amp; Pin Boost)</w:t>
            </w:r>
          </w:p>
        </w:tc>
        <w:tc>
          <w:tcPr>
            <w:tcW w:type="pct" w:w="4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Người bán trả 20.000 VNĐ/lần đẩy bài (Bump) hoặc 50.000 VNĐ/ngày để ghim mẻ cá lên vị trí Top trên Bản đồ GeoJSON Leaflet với Marker vàng.</w:t>
            </w:r>
          </w:p>
        </w:tc>
        <w:tc>
          <w:tcPr>
            <w:tcW w:type="pct" w:w="2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8% Tổng Doanh Thu</w:t>
            </w:r>
          </w:p>
        </w:tc>
      </w:tr>
      <w:tr>
        <w:tc>
          <w:tcPr>
            <w:tcW w:type="pct" w:w="3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6. Phí Kết Nối B2B Nhà Hàng / Khách Sạn</w:t>
            </w:r>
          </w:p>
          <w:p>
            <w:pPr>
              <w:spacing w:after="80"/>
            </w:pPr>
            <w:r>
              <w:rPr>
                <w:b/>
                <w:bCs/>
                <w:color w:val="1E293B"/>
                <w:sz w:val="20"/>
                <w:szCs w:val="20"/>
              </w:rPr>
              <w:t xml:space="preserve">(B2B Contract Fee)</w:t>
            </w:r>
          </w:p>
        </w:tc>
        <w:tc>
          <w:tcPr>
            <w:tcW w:type="pct" w:w="4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Thu 2% phí dịch vụ môi giới kết nối hợp đồng cung ứng hải sản số lượng lớn giữa chủ tàu cá và các chuỗi nhà hàng / khách sạn 5 sao.</w:t>
            </w:r>
          </w:p>
        </w:tc>
        <w:tc>
          <w:tcPr>
            <w:tcW w:type="pct" w:w="2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5% Tổng Doanh Thu</w:t>
            </w:r>
          </w:p>
        </w:tc>
      </w:tr>
      <w:tr>
        <w:tc>
          <w:tcPr>
            <w:tcW w:type="pct" w:w="3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7. Hoa Hồng Chia Sẻ Vận Chuyển Lạnh</w:t>
            </w:r>
          </w:p>
          <w:p>
            <w:pPr>
              <w:spacing w:after="80"/>
            </w:pPr>
            <w:r>
              <w:rPr>
                <w:b/>
                <w:bCs/>
                <w:color w:val="1E293B"/>
                <w:sz w:val="20"/>
                <w:szCs w:val="20"/>
              </w:rPr>
              <w:t xml:space="preserve">(Cold-Chain Logistics Affiliate)</w:t>
            </w:r>
          </w:p>
        </w:tc>
        <w:tc>
          <w:tcPr>
            <w:tcW w:type="pct" w:w="4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Nhận 5-10% chiết khấu hoa hồng từ đối tác vận chuyển lạnh (Ahamove, Lalamove) trên mỗi đơn giao phát sinh qua sàn.</w:t>
            </w:r>
          </w:p>
        </w:tc>
        <w:tc>
          <w:tcPr>
            <w:tcW w:type="pct" w:w="2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4% Tổng Doanh Thu</w:t>
            </w:r>
          </w:p>
        </w:tc>
      </w:tr>
      <w:tr>
        <w:tc>
          <w:tcPr>
            <w:tcW w:type="pct" w:w="3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8. Phí Đặt Tour Trải Nghiệm Đi Biển</w:t>
            </w:r>
          </w:p>
          <w:p>
            <w:pPr>
              <w:spacing w:after="80"/>
            </w:pPr>
            <w:r>
              <w:rPr>
                <w:b/>
                <w:bCs/>
                <w:color w:val="1E293B"/>
                <w:sz w:val="20"/>
                <w:szCs w:val="20"/>
              </w:rPr>
              <w:t xml:space="preserve">(Sea-to-Table Tourism Booking)</w:t>
            </w:r>
          </w:p>
        </w:tc>
        <w:tc>
          <w:tcPr>
            <w:tcW w:type="pct" w:w="4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Cho phép ngư dân tích xanh mở dịch vụ dẫn khách du lịch trải nghiệm câu mực/kéo lưới. Thu 10% phí hoa hồng trên mỗi vé book tour.</w:t>
            </w:r>
          </w:p>
        </w:tc>
        <w:tc>
          <w:tcPr>
            <w:tcW w:type="pct" w:w="2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2% Tổng Doanh Thu</w:t>
            </w:r>
          </w:p>
        </w:tc>
      </w:tr>
      <w:tr>
        <w:tc>
          <w:tcPr>
            <w:tcW w:type="pct" w:w="3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9. Cung Cấp API Chỉ Số Giá Hải Sản</w:t>
            </w:r>
          </w:p>
          <w:p>
            <w:pPr>
              <w:spacing w:after="80"/>
            </w:pPr>
            <w:r>
              <w:rPr>
                <w:b/>
                <w:bCs/>
                <w:color w:val="1E293B"/>
                <w:sz w:val="20"/>
                <w:szCs w:val="20"/>
              </w:rPr>
              <w:t xml:space="preserve">(Seafood Market Data API)</w:t>
            </w:r>
          </w:p>
        </w:tc>
        <w:tc>
          <w:tcPr>
            <w:tcW w:type="pct" w:w="4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Bán dữ liệu thống kê biến động giá hải sản và sản lượng đánh bắt theo thời gian thực cho các tập đoàn xuất khẩu hải sản qua API Subscription.</w:t>
            </w:r>
          </w:p>
        </w:tc>
        <w:tc>
          <w:tcPr>
            <w:tcW w:type="pct" w:w="2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Dài hạn B2B</w:t>
            </w:r>
          </w:p>
        </w:tc>
      </w:tr>
    </w:tbl>
    <w:p>
      <w:pPr>
        <w:spacing w:after="240"/>
      </w:pPr>
    </w:p>
    <w:p>
      <w:pPr>
        <w:pStyle w:val="Heading1"/>
        <w:spacing w:after="180" w:before="240"/>
      </w:pPr>
      <w:r>
        <w:rPr>
          <w:b/>
          <w:bCs/>
          <w:color w:val="0F172A"/>
          <w:sz w:val="24"/>
          <w:szCs w:val="24"/>
        </w:rPr>
        <w:t xml:space="preserve">CHƯƠNG 4. BỐN NẤC THANG NÂNG CẤP ĐỂ BIẾN SEA_SHOP THÀNH PRODUCT THƯƠNG MẠI TRIỆU USD</w:t>
      </w:r>
    </w:p>
    <w:p>
      <w:pPr>
        <w:spacing w:after="240"/>
      </w:pPr>
      <w:r>
        <w:rPr>
          <w:b/>
          <w:bCs/>
        </w:rPr>
        <w:t xml:space="preserve">1. Module Escrow &amp; Ví Điện Tử (Escrow Wallet System): </w:t>
      </w:r>
      <w:r>
        <w:t xml:space="preserve">Thêm mảng `Wallets` và `EscrowTransactions` trong DB. Tiền người mua tạm giữ tại Escrow ➔ Người mua bấm 'Đã nhận hải sản tươi' ➔ Trừ 3% phí sàn ➔ Chuyển 97% tiền vào ví Ngư dân.
</w:t>
      </w:r>
      <w:r>
        <w:rPr>
          <w:b/>
          <w:bCs/>
        </w:rPr>
        <w:t xml:space="preserve">2. Module Quảng Cáo Ngữ Cảnh 2 Phía (2-Sided Targeted Ad Engine): </w:t>
      </w:r>
      <w:r>
        <w:t xml:space="preserve">Tích hợp Banner Widget gợi ý Nước chấm hải sản (Muối ớt xanh, Nước mắm nhĩ) cho Người mua và Ngư cụ/Động cơ tàu cá cho Ngư dân.
</w:t>
      </w:r>
      <w:r>
        <w:rPr>
          <w:b/>
          <w:bCs/>
        </w:rPr>
        <w:t xml:space="preserve">3. Module Gọi Xe Giao Hàng Đông Lạnh (Automated Cold Delivery API): </w:t>
      </w:r>
      <w:r>
        <w:t xml:space="preserve">Tích hợp Webhook Ahamove / Lalamove. Tự động tính cước ship đông lạnh từng mét ➔ Đặt tài xế tự động.
</w:t>
      </w:r>
      <w:r>
        <w:rPr>
          <w:b/>
          <w:bCs/>
        </w:rPr>
        <w:t xml:space="preserve">4. Native Mobile App Cho Ngư Dân (Fisherman Offline App): </w:t>
      </w:r>
      <w:r>
        <w:t xml:space="preserve">Phát triển ứng dụng React Native sử dụng WatermelonDB / SQLite lưu trữ offline ngoài biển. Ngư dân ghi nhật ký cabin không cần mạng ➔ Tàu cập bến tự động sync DB về Express.js backend.</w:t>
      </w:r>
    </w:p>
    <w:p>
      <w:pPr>
        <w:pStyle w:val="Heading1"/>
        <w:spacing w:after="180" w:before="240"/>
      </w:pPr>
      <w:r>
        <w:rPr>
          <w:b/>
          <w:bCs/>
          <w:color w:val="0F172A"/>
          <w:sz w:val="24"/>
          <w:szCs w:val="24"/>
        </w:rPr>
        <w:t xml:space="preserve">CHƯƠNG 5. ĐÁNH GIÁ TỔNG KẾT VÀ KẾT LUẬN</w:t>
      </w:r>
    </w:p>
    <w:p>
      <w:pPr>
        <w:spacing w:after="240"/>
      </w:pPr>
      <w:r>
        <w:rPr>
          <w:sz w:val="20"/>
          <w:szCs w:val="20"/>
        </w:rPr>
        <w:t xml:space="preserve">Mã nguồn dự án HảiSản.vn (sea_shop) hiện tại đã hoàn thành </w:t>
      </w:r>
      <w:r>
        <w:rPr>
          <w:b/>
          <w:bCs/>
          <w:color w:val="0D9488"/>
          <w:sz w:val="20"/>
          <w:szCs w:val="20"/>
        </w:rPr>
        <w:t xml:space="preserve">85% nền tảng cốt lõi (Core Engine) </w:t>
      </w:r>
      <w:r>
        <w:rPr>
          <w:sz w:val="20"/>
          <w:szCs w:val="20"/>
        </w:rPr>
        <w:t xml:space="preserve">của một sản phẩm thật:
• Kiến trúc Clean Architecture + DDD vô cùng chuẩn mực để dễ dàng phát triển Microservices;
• Hệ thống Bản đồ GeoJSON Leaflet &amp; Haversine chạy mượt dưới 8ms;
• Kênh Chat Realtime Socket.IO hoạt động tức thì;
• Bộ Kiểm thử Tự động 3 Tầng (215 Jest / 21 Vitest / Playwright E2E) vượt xa tiêu chuẩn đồ án sinh viên thông thường.
</w:t>
      </w:r>
      <w:r>
        <w:rPr>
          <w:b/>
          <w:bCs/>
          <w:sz w:val="20"/>
          <w:szCs w:val="20"/>
        </w:rPr>
        <w:t xml:space="preserve">Kết luận: Mã nguồn hiện tại hoàn toàn sẵn sàng làm nền tảng vững chắc (Boilerplate/Core Engine) để nhóm tự tin bảo vệ đồ án với kết quả xuất sắc nhất và có thể thương mại hóa thực tế trong tương lai!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2026-07-22T13:19:22.261Z</dcterms:created>
  <dcterms:modified xsi:type="dcterms:W3CDTF">2026-07-22T13:19:22.261Z</dcterms:modified>
</cp:coreProperties>
</file>

<file path=docProps/custom.xml><?xml version="1.0" encoding="utf-8"?>
<Properties xmlns="http://schemas.openxmlformats.org/officeDocument/2006/custom-properties" xmlns:vt="http://schemas.openxmlformats.org/officeDocument/2006/docPropsVTypes"/>
</file>