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0F172A"/>
          <w:sz w:val="32"/>
          <w:szCs w:val="32"/>
        </w:rPr>
        <w:t xml:space="preserve">TÀI LIỆU GIẢI THÍCH KỸ THUẬT CHUYÊN SÂU DỰ ÁN HẢI SẢN.VN (sea_shop)</w:t>
      </w:r>
    </w:p>
    <w:p>
      <w:pPr>
        <w:spacing w:after="360"/>
        <w:jc w:val="center"/>
      </w:pPr>
      <w:r>
        <w:rPr>
          <w:b/>
          <w:bCs/>
          <w:color w:val="0D9488"/>
          <w:sz w:val="24"/>
          <w:szCs w:val="24"/>
        </w:rPr>
        <w:t xml:space="preserve">Cẩm Nang Thấu Hiểu Mã Nguồn &amp; Bảo Vệ Đồ Án Xuất Sắc Trước Hội Đồng (SWP391)</w:t>
      </w:r>
    </w:p>
    <w:p>
      <w:pPr>
        <w:pStyle w:val="Heading1"/>
        <w:spacing w:after="180" w:before="240"/>
      </w:pPr>
      <w:r>
        <w:rPr>
          <w:b/>
          <w:bCs/>
          <w:color w:val="0F172A"/>
          <w:sz w:val="26"/>
          <w:szCs w:val="26"/>
        </w:rPr>
        <w:t xml:space="preserve">CHƯƠNG 1. NGHIỆP VỤ CỐT LÕI &amp; BÀI TOÁN THỰC TẾ (BUSINESS DOMAIN)</w:t>
      </w:r>
    </w:p>
    <w:p>
      <w:pPr>
        <w:spacing w:after="240"/>
      </w:pPr>
      <w:r>
        <w:rPr>
          <w:sz w:val="20"/>
          <w:szCs w:val="20"/>
        </w:rPr>
        <w:t xml:space="preserve">Dự án HảiSản.vn không phải là một ứng dụng thương mại điện tử bán đồ cố định thông thường. Đây là nền tảng chuyên biệt phục vụ ngành hải sản tươi sống với 4 điểm độc đáo nghiệp vụ:
</w:t>
      </w:r>
      <w:r>
        <w:rPr>
          <w:b/>
          <w:bCs/>
        </w:rPr>
        <w:t xml:space="preserve">1. Khái niệm 'Mẻ cá cập bến' (Landing Batch): </w:t>
      </w:r>
      <w:r>
        <w:t xml:space="preserve">Hải sản tươi sống mang tính mùa vụ và đánh bắt theo từng chuyến biển. Mỗi mẻ cá cập bến lưu trữ chi tiết: Ngày giờ đánh bắt, cảng cập bến, tên tàu cá, hạn sử dụng tươi, và danh sách các sản phẩm hải sản thuộc mẻ đó. Điều này giúp người mua truy xuất nguồn gốc minh bạch 100%.
</w:t>
      </w:r>
      <w:r>
        <w:rPr>
          <w:b/>
          <w:bCs/>
        </w:rPr>
        <w:t xml:space="preserve">2. Nhật ký Cabin (Boat Log): </w:t>
      </w:r>
      <w:r>
        <w:t xml:space="preserve">Ngư dân ghi lại nhật ký hành trình biển (tọa độ GPS hải trình, tình hình thời tiết, hình ảnh thực tế mẻ hải sản vừa kéo lưới). Tính năng này kết hợp với Huy hiệu xác minh tích xanh (Fisherman Verification) giúp ngư dân khẳng định uy tín tuyệt đối với người mua.
</w:t>
      </w:r>
      <w:r>
        <w:rPr>
          <w:b/>
          <w:bCs/>
        </w:rPr>
        <w:t xml:space="preserve">3. Định vị địa lý GeoJSON &amp; Thuật toán Haversine: </w:t>
      </w:r>
      <w:r>
        <w:t xml:space="preserve">Cho phép người dùng quét và hiển thị mẻ cá lân cận theo bán kính địa lý thực tế (km) dựa trên tọa độ GPS người mua và vựa cá.
</w:t>
      </w:r>
      <w:r>
        <w:rPr>
          <w:b/>
          <w:bCs/>
        </w:rPr>
        <w:t xml:space="preserve">4. Kênh tương tác trực tiếp Socket.IO: </w:t>
      </w:r>
      <w:r>
        <w:t xml:space="preserve">Người mua và ngư dân/người bán có thể thương lượng giá cả, trao đổi tình trạng hải sản tươi 1-1 realtime.</w:t>
      </w:r>
    </w:p>
    <w:p>
      <w:pPr>
        <w:pStyle w:val="Heading1"/>
        <w:spacing w:after="180" w:before="240"/>
      </w:pPr>
      <w:r>
        <w:rPr>
          <w:b/>
          <w:bCs/>
          <w:color w:val="0F172A"/>
          <w:sz w:val="26"/>
          <w:szCs w:val="26"/>
        </w:rPr>
        <w:t xml:space="preserve">CHƯƠNG 2. KIẾN TRÚC CLEAN ARCHITECTURE &amp; DOMAIN-DRIVEN DESIGN (DDD)</w:t>
      </w:r>
    </w:p>
    <w:p>
      <w:pPr>
        <w:spacing w:after="140"/>
      </w:pPr>
      <w:r>
        <w:rPr>
          <w:sz w:val="20"/>
          <w:szCs w:val="20"/>
        </w:rPr>
        <w:t xml:space="preserve">Dự án áp dụng mô hình Clean Architecture 4 tầng (Lightweight DDD) phân tách tại thư mục `backend/src/modules/` với 5 modules chính: IAM, Product, Post, Recipe, BoatLog.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0F172A" w:val="clear"/>
            <w:tcMar>
              <w:top w:type="dxa" w:w="120"/>
              <w:left w:type="dxa" w:w="150"/>
              <w:bottom w:type="dxa" w:w="120"/>
              <w:right w:type="dxa" w:w="150"/>
            </w:tcMar>
          </w:tcPr>
          <w:p>
            <w:pPr>
              <w:jc w:val="left"/>
            </w:pPr>
            <w:r>
              <w:rPr>
                <w:b/>
                <w:bCs/>
                <w:color w:val="FFFFFF"/>
                <w:sz w:val="22"/>
                <w:szCs w:val="22"/>
              </w:rPr>
              <w:t xml:space="preserve">TẦNG KIẾN TRÚC</w:t>
            </w:r>
          </w:p>
        </w:tc>
        <w:tc>
          <w:tcPr>
            <w:tcW w:type="pct" w:w="30%"/>
            <w:shd w:fill="0F172A" w:val="clear"/>
            <w:tcMar>
              <w:top w:type="dxa" w:w="120"/>
              <w:left w:type="dxa" w:w="150"/>
              <w:bottom w:type="dxa" w:w="120"/>
              <w:right w:type="dxa" w:w="150"/>
            </w:tcMar>
          </w:tcPr>
          <w:p>
            <w:pPr>
              <w:jc w:val="left"/>
            </w:pPr>
            <w:r>
              <w:rPr>
                <w:b/>
                <w:bCs/>
                <w:color w:val="FFFFFF"/>
                <w:sz w:val="22"/>
                <w:szCs w:val="22"/>
              </w:rPr>
              <w:t xml:space="preserve">VỊ TRÍ MÃ NGUỒN</w:t>
            </w:r>
          </w:p>
        </w:tc>
        <w:tc>
          <w:tcPr>
            <w:tcW w:type="pct" w:w="45%"/>
            <w:shd w:fill="0F172A" w:val="clear"/>
            <w:tcMar>
              <w:top w:type="dxa" w:w="120"/>
              <w:left w:type="dxa" w:w="150"/>
              <w:bottom w:type="dxa" w:w="120"/>
              <w:right w:type="dxa" w:w="150"/>
            </w:tcMar>
          </w:tcPr>
          <w:p>
            <w:pPr>
              <w:jc w:val="left"/>
            </w:pPr>
            <w:r>
              <w:rPr>
                <w:b/>
                <w:bCs/>
                <w:color w:val="FFFFFF"/>
                <w:sz w:val="22"/>
                <w:szCs w:val="22"/>
              </w:rPr>
              <w:t xml:space="preserve">VAI TRÒ &amp; NGUYÊN TẮC HOẠT ĐỘNG</w:t>
            </w:r>
          </w:p>
        </w:tc>
      </w:tr>
      <w:tr>
        <w:tc>
          <w:tcPr>
            <w:tcW w:type="pct" w:w="25%"/>
            <w:tcBorders>
              <w:top w:val="single" w:color="CBD5E1" w:sz="1"/>
              <w:left w:val="single" w:color="CBD5E1" w:sz="1"/>
              <w:bottom w:val="single" w:color="CBD5E1" w:sz="1"/>
              <w:right w:val="single" w:color="CBD5E1" w:sz="1"/>
            </w:tcBorders>
            <w:shd w:fill="F8FAFC" w:val="clear"/>
            <w:tcMar>
              <w:top w:type="dxa" w:w="120"/>
              <w:left w:type="dxa" w:w="150"/>
              <w:bottom w:type="dxa" w:w="120"/>
              <w:right w:type="dxa" w:w="150"/>
            </w:tcMar>
          </w:tcPr>
          <w:p>
            <w:pPr>
              <w:spacing w:after="80"/>
            </w:pPr>
            <w:r>
              <w:rPr>
                <w:b/>
                <w:bCs/>
                <w:color w:val="1E293B"/>
                <w:sz w:val="20"/>
                <w:szCs w:val="20"/>
              </w:rPr>
              <w:t xml:space="preserve">1. Domain Layer</w:t>
            </w:r>
          </w:p>
        </w:tc>
        <w:tc>
          <w:tcPr>
            <w:tcW w:type="pct" w:w="30%"/>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1E293B"/>
                <w:sz w:val="20"/>
                <w:szCs w:val="20"/>
              </w:rPr>
              <w:t xml:space="preserve">src/modules/*/domain/</w:t>
            </w:r>
          </w:p>
          <w:p>
            <w:pPr>
              <w:spacing w:after="80"/>
            </w:pPr>
            <w:r>
              <w:rPr>
                <w:b w:val="false"/>
                <w:bCs w:val="false"/>
                <w:color w:val="1E293B"/>
                <w:sz w:val="20"/>
                <w:szCs w:val="20"/>
              </w:rPr>
              <w:t xml:space="preserve">entities/, value-objects/</w:t>
            </w:r>
          </w:p>
        </w:tc>
        <w:tc>
          <w:tcPr>
            <w:tcW w:type="pct" w:w="4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1E293B"/>
                <w:sz w:val="20"/>
                <w:szCs w:val="20"/>
              </w:rPr>
              <w:t xml:space="preserve">Chứa nghiệp vụ cốt lõi (User, Product, Post, Recipe, BoatLog). KHÔNG phụ thuộc bất kỳ thư viện ngoài (No Express, No Mongoose). Chứa Value Objects (GPSCoordinates, PriceHistory) kiểm tra dữ liệu hợp lệ.</w:t>
            </w:r>
          </w:p>
        </w:tc>
      </w:tr>
      <w:tr>
        <w:tc>
          <w:tcPr>
            <w:tcW w:type="pct" w:w="25%"/>
            <w:tcBorders>
              <w:top w:val="single" w:color="CBD5E1" w:sz="1"/>
              <w:left w:val="single" w:color="CBD5E1" w:sz="1"/>
              <w:bottom w:val="single" w:color="CBD5E1" w:sz="1"/>
              <w:right w:val="single" w:color="CBD5E1" w:sz="1"/>
            </w:tcBorders>
            <w:shd w:fill="F8FAFC" w:val="clear"/>
            <w:tcMar>
              <w:top w:type="dxa" w:w="120"/>
              <w:left w:type="dxa" w:w="150"/>
              <w:bottom w:type="dxa" w:w="120"/>
              <w:right w:type="dxa" w:w="150"/>
            </w:tcMar>
          </w:tcPr>
          <w:p>
            <w:pPr>
              <w:spacing w:after="80"/>
            </w:pPr>
            <w:r>
              <w:rPr>
                <w:b/>
                <w:bCs/>
                <w:color w:val="1E293B"/>
                <w:sz w:val="20"/>
                <w:szCs w:val="20"/>
              </w:rPr>
              <w:t xml:space="preserve">2. Application Layer</w:t>
            </w:r>
          </w:p>
        </w:tc>
        <w:tc>
          <w:tcPr>
            <w:tcW w:type="pct" w:w="30%"/>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1E293B"/>
                <w:sz w:val="20"/>
                <w:szCs w:val="20"/>
              </w:rPr>
              <w:t xml:space="preserve">src/modules/*/application/</w:t>
            </w:r>
          </w:p>
          <w:p>
            <w:pPr>
              <w:spacing w:after="80"/>
            </w:pPr>
            <w:r>
              <w:rPr>
                <w:b w:val="false"/>
                <w:bCs w:val="false"/>
                <w:color w:val="1E293B"/>
                <w:sz w:val="20"/>
                <w:szCs w:val="20"/>
              </w:rPr>
              <w:t xml:space="preserve">use-cases/, event-handlers/</w:t>
            </w:r>
          </w:p>
        </w:tc>
        <w:tc>
          <w:tcPr>
            <w:tcW w:type="pct" w:w="4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1E293B"/>
                <w:sz w:val="20"/>
                <w:szCs w:val="20"/>
              </w:rPr>
              <w:t xml:space="preserve">Mỗi UseCase xử lý duy nhất 1 nghiệp vụ (Single Responsibility). Ví dụ: CreateProductUseCase, DeleteAccountUseCase. Lắng nghe Domain Events (OnUserPremiumUpgraded).</w:t>
            </w:r>
          </w:p>
        </w:tc>
      </w:tr>
      <w:tr>
        <w:tc>
          <w:tcPr>
            <w:tcW w:type="pct" w:w="25%"/>
            <w:tcBorders>
              <w:top w:val="single" w:color="CBD5E1" w:sz="1"/>
              <w:left w:val="single" w:color="CBD5E1" w:sz="1"/>
              <w:bottom w:val="single" w:color="CBD5E1" w:sz="1"/>
              <w:right w:val="single" w:color="CBD5E1" w:sz="1"/>
            </w:tcBorders>
            <w:shd w:fill="F8FAFC" w:val="clear"/>
            <w:tcMar>
              <w:top w:type="dxa" w:w="120"/>
              <w:left w:type="dxa" w:w="150"/>
              <w:bottom w:type="dxa" w:w="120"/>
              <w:right w:type="dxa" w:w="150"/>
            </w:tcMar>
          </w:tcPr>
          <w:p>
            <w:pPr>
              <w:spacing w:after="80"/>
            </w:pPr>
            <w:r>
              <w:rPr>
                <w:b/>
                <w:bCs/>
                <w:color w:val="1E293B"/>
                <w:sz w:val="20"/>
                <w:szCs w:val="20"/>
              </w:rPr>
              <w:t xml:space="preserve">3. Infrastructure Layer</w:t>
            </w:r>
          </w:p>
        </w:tc>
        <w:tc>
          <w:tcPr>
            <w:tcW w:type="pct" w:w="30%"/>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1E293B"/>
                <w:sz w:val="20"/>
                <w:szCs w:val="20"/>
              </w:rPr>
              <w:t xml:space="preserve">src/modules/*/infrastructure/</w:t>
            </w:r>
          </w:p>
          <w:p>
            <w:pPr>
              <w:spacing w:after="80"/>
            </w:pPr>
            <w:r>
              <w:rPr>
                <w:b w:val="false"/>
                <w:bCs w:val="false"/>
                <w:color w:val="1E293B"/>
                <w:sz w:val="20"/>
                <w:szCs w:val="20"/>
              </w:rPr>
              <w:t xml:space="preserve">persistence/, mappers/</w:t>
            </w:r>
          </w:p>
        </w:tc>
        <w:tc>
          <w:tcPr>
            <w:tcW w:type="pct" w:w="4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1E293B"/>
                <w:sz w:val="20"/>
                <w:szCs w:val="20"/>
              </w:rPr>
              <w:t xml:space="preserve">Triển khai Mongoose Repositories &amp; Mappers (toDomain). Chuyển đổi dữ liệu giữa BSON Document của MongoDB và Domain Entity thuần túy, giúp cách ly hoàn toàn Database khỏi nghiệp vụ.</w:t>
            </w:r>
          </w:p>
        </w:tc>
      </w:tr>
      <w:tr>
        <w:tc>
          <w:tcPr>
            <w:tcW w:type="pct" w:w="25%"/>
            <w:tcBorders>
              <w:top w:val="single" w:color="CBD5E1" w:sz="1"/>
              <w:left w:val="single" w:color="CBD5E1" w:sz="1"/>
              <w:bottom w:val="single" w:color="CBD5E1" w:sz="1"/>
              <w:right w:val="single" w:color="CBD5E1" w:sz="1"/>
            </w:tcBorders>
            <w:shd w:fill="F8FAFC" w:val="clear"/>
            <w:tcMar>
              <w:top w:type="dxa" w:w="120"/>
              <w:left w:type="dxa" w:w="150"/>
              <w:bottom w:type="dxa" w:w="120"/>
              <w:right w:type="dxa" w:w="150"/>
            </w:tcMar>
          </w:tcPr>
          <w:p>
            <w:pPr>
              <w:spacing w:after="80"/>
            </w:pPr>
            <w:r>
              <w:rPr>
                <w:b/>
                <w:bCs/>
                <w:color w:val="1E293B"/>
                <w:sz w:val="20"/>
                <w:szCs w:val="20"/>
              </w:rPr>
              <w:t xml:space="preserve">4. Presentation Layer</w:t>
            </w:r>
          </w:p>
        </w:tc>
        <w:tc>
          <w:tcPr>
            <w:tcW w:type="pct" w:w="30%"/>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1E293B"/>
                <w:sz w:val="20"/>
                <w:szCs w:val="20"/>
              </w:rPr>
              <w:t xml:space="preserve">src/modules/*/presentation/</w:t>
            </w:r>
          </w:p>
          <w:p>
            <w:pPr>
              <w:spacing w:after="80"/>
            </w:pPr>
            <w:r>
              <w:rPr>
                <w:b w:val="false"/>
                <w:bCs w:val="false"/>
                <w:color w:val="1E293B"/>
                <w:sz w:val="20"/>
                <w:szCs w:val="20"/>
              </w:rPr>
              <w:t xml:space="preserve">http/ (Controllers)</w:t>
            </w:r>
          </w:p>
        </w:tc>
        <w:tc>
          <w:tcPr>
            <w:tcW w:type="pct" w:w="4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1E293B"/>
                <w:sz w:val="20"/>
                <w:szCs w:val="20"/>
              </w:rPr>
              <w:t xml:space="preserve">Tiếp nhận HTTP Request từ Express routes, trích xuất dữ liệu, gọi UseCase tương ứng và trả về JSON Response chuẩn hóa.</w:t>
            </w:r>
          </w:p>
        </w:tc>
      </w:tr>
    </w:tbl>
    <w:p>
      <w:pPr>
        <w:spacing w:after="240"/>
      </w:pPr>
    </w:p>
    <w:p>
      <w:pPr>
        <w:pStyle w:val="Heading1"/>
        <w:spacing w:after="180" w:before="240"/>
      </w:pPr>
      <w:r>
        <w:rPr>
          <w:b/>
          <w:bCs/>
          <w:color w:val="0F172A"/>
          <w:sz w:val="26"/>
          <w:szCs w:val="26"/>
        </w:rPr>
        <w:t xml:space="preserve">CHƯƠNG 3. THIẾT KẾ BẢO MẬT HÀNG ĐẦU (SECURITY ARCHITECTURE &amp; OWASP)</w:t>
      </w:r>
    </w:p>
    <w:p>
      <w:pPr>
        <w:spacing w:after="240"/>
      </w:pPr>
      <w:r>
        <w:rPr>
          <w:b/>
          <w:bCs/>
        </w:rPr>
        <w:t xml:space="preserve">• Xác thực JWT Cookie (HttpOnly &amp; Strict HS256): </w:t>
      </w:r>
      <w:r>
        <w:t xml:space="preserve">Token được lưu trữ trực tiếp trong HttpOnly Cookie thay vì LocalStorage. Điều này ngăn chặn 100% nguy cơ hacker lấy cắp mã truy cập qua các kịch bản tấn công XSS. Khi verify token tại `backend/src/middlewares/auth.ts`, hệ thống ép buộc thuật toán đối xứng `algorithms: ['HS256']`, triệt hạ hoàn toàn lỗ hổng Algorithm Confusion (nơi kẻ tấn công sửa header token thành 'none').
</w:t>
      </w:r>
      <w:r>
        <w:rPr>
          <w:b/>
          <w:bCs/>
        </w:rPr>
        <w:t xml:space="preserve">• Chống tấn công Timing Attack khi Đăng Nhập: </w:t>
      </w:r>
      <w:r>
        <w:t xml:space="preserve">Trong `auth.service.ts`, nếu email đăng nhập không tồn tại trong DB, hệ thống vẫn gọi hàm băm giả lập `bcrypt.compare('dummy_password', dummyHash)`. Mục đích để thời gian phản hồi giữa email sai và mật khẩu sai là hoàn toàn bằng nhau, ngăn hacker dùng kỹ thuật đo thời gian để dò tìm email hợp lệ.
</w:t>
      </w:r>
      <w:r>
        <w:rPr>
          <w:b/>
          <w:bCs/>
        </w:rPr>
        <w:t xml:space="preserve">• Rate Limiting 3 Tầng Bảo Vệ: </w:t>
      </w:r>
      <w:r>
        <w:t xml:space="preserve">1) `authLimiter`: 20 req/15 phút (chống Brute-force mật khẩu &amp; spam OTP);
2) `pollingLimiter`: 120 req/phút (bảo vệ endpoints fetch thông báo/chat);
3) `globalLimiter`: 1500 req/phút (bảo vệ toàn bộ server khỏi tấn công DoS/Flood requests).
</w:t>
      </w:r>
      <w:r>
        <w:rPr>
          <w:b/>
          <w:bCs/>
        </w:rPr>
        <w:t xml:space="preserve">• CSRF Token &amp; Helmet Headers: </w:t>
      </w:r>
      <w:r>
        <w:t xml:space="preserve">Triển khai middleware CSRF với cơ chế Double-Submit Cookie cho các thao tác mẫn cảm (POST, PUT, DELETE). Helmet middleware tự động cấu hình các HTTP Security Headers chống Clickjacking và MIME sniffing.</w:t>
      </w:r>
    </w:p>
    <w:p>
      <w:pPr>
        <w:pStyle w:val="Heading1"/>
        <w:spacing w:after="180" w:before="240"/>
      </w:pPr>
      <w:r>
        <w:rPr>
          <w:b/>
          <w:bCs/>
          <w:color w:val="0F172A"/>
          <w:sz w:val="26"/>
          <w:szCs w:val="26"/>
        </w:rPr>
        <w:t xml:space="preserve">CHƯƠNG 4. QUY TRÌNH XÓA TÀI KHOẢN TUÂN THỦ GDPR (GDPR ACCOUNT DELETION)</w:t>
      </w:r>
    </w:p>
    <w:p>
      <w:pPr>
        <w:spacing w:after="240"/>
      </w:pPr>
      <w:r>
        <w:rPr>
          <w:sz w:val="20"/>
          <w:szCs w:val="20"/>
        </w:rPr>
        <w:t xml:space="preserve">Khi người dùng yêu cầu xóa tài khoản (GDPR Delete Account), dịch vụ `authService.deleteAccount(userId)` thực hiện quy trình xử lý liên hoàn 4 tầng đảm bảo tính toàn vẹn dữ liệu tuyệt đối:
</w:t>
      </w:r>
      <w:r>
        <w:rPr>
          <w:b/>
          <w:bCs/>
        </w:rPr>
        <w:t xml:space="preserve">1. Tầng DB Transaction (Mongoose ACID): </w:t>
      </w:r>
      <w:r>
        <w:t xml:space="preserve">Khởi tạo session transaction. Thực hiện xóa/cập nhật cascade triệt để: Xóa user khỏi mảng following; Xóa sản phẩm của user khỏi mảng favorites của mọi người khác; Xóa toàn bộ Reviews, Messages, Reports, Notifications, Posts, Recipes, BoatLogs, LandingBatches của user đó. Nếu xảy ra sự cố, tự động rollback toàn bộ DB.
</w:t>
      </w:r>
      <w:r>
        <w:rPr>
          <w:b/>
          <w:bCs/>
        </w:rPr>
        <w:t xml:space="preserve">2. Tầng Redis Revocation: </w:t>
      </w:r>
      <w:r>
        <w:t xml:space="preserve">Quét SCAN và xóa toàn bộ refresh token keys `auth:refresh:${userId}:*` trên Redis để đăng xuất cưỡng bức user lập tức.
</w:t>
      </w:r>
      <w:r>
        <w:rPr>
          <w:b/>
          <w:bCs/>
        </w:rPr>
        <w:t xml:space="preserve">3. Tầng Cloudinary CDN Bulk Delete: </w:t>
      </w:r>
      <w:r>
        <w:t xml:space="preserve">Thu thập tất cả Public IDs ảnh sản phẩm &amp; avatar của user, gửi lệnh xóa hàng loạt `cloudinary.api.delete_resources` (chia lô tối đa 100 ảnh/lần) để giải phóng bộ nhớ CDN.
</w:t>
      </w:r>
      <w:r>
        <w:rPr>
          <w:b/>
          <w:bCs/>
        </w:rPr>
        <w:t xml:space="preserve">4. Tầng Cache Invalidation: </w:t>
      </w:r>
      <w:r>
        <w:t xml:space="preserve">Xóa cache Redis `product:detail:*` của các sản phẩm thuộc user đó và tăng version cache danh sách sản phẩm.</w:t>
      </w:r>
    </w:p>
    <w:p>
      <w:pPr>
        <w:pStyle w:val="Heading1"/>
        <w:spacing w:after="180" w:before="240"/>
      </w:pPr>
      <w:r>
        <w:rPr>
          <w:b/>
          <w:bCs/>
          <w:color w:val="0F172A"/>
          <w:sz w:val="26"/>
          <w:szCs w:val="26"/>
        </w:rPr>
        <w:t xml:space="preserve">CHƯƠNG 5. CHIẾN LƯỢC KIỂM THỬ TỰ ĐỘNG (AUTOMATED TESTING STRATEGY)</w:t>
      </w:r>
    </w:p>
    <w:p>
      <w:pPr>
        <w:spacing w:after="240"/>
      </w:pPr>
      <w:r>
        <w:rPr>
          <w:sz w:val="20"/>
          <w:szCs w:val="20"/>
        </w:rPr>
        <w:t xml:space="preserve">Dự án sở hữu bộ kiểm thử tự động toàn diện với 3 tầng test chính:
</w:t>
      </w:r>
      <w:r>
        <w:rPr>
          <w:b/>
          <w:bCs/>
        </w:rPr>
        <w:t xml:space="preserve">• Backend Unit &amp; Integration Testing (Jest): </w:t>
      </w:r>
      <w:r>
        <w:t xml:space="preserve">Đạt 154 Test Suites với 215 Unit Tests PASS 100%. Phủ kín từ Domain Entities, Use Cases, Repositories, Middlewares, cho tới Validations.
</w:t>
      </w:r>
      <w:r>
        <w:rPr>
          <w:b/>
          <w:bCs/>
        </w:rPr>
        <w:t xml:space="preserve">• Frontend Unit Testing (Vitest + jsdom): </w:t>
      </w:r>
      <w:r>
        <w:t xml:space="preserve">Đạt 5 Test Files với 21 Tests PASS 100%. Kiểm thử các hàm tiện ích sản phẩm, định dạng tiền VND, phân quyền sở hữu và chat helpers.
</w:t>
      </w:r>
      <w:r>
        <w:rPr>
          <w:b/>
          <w:bCs/>
        </w:rPr>
        <w:t xml:space="preserve">• End-to-End Testing (Playwright): </w:t>
      </w:r>
      <w:r>
        <w:t xml:space="preserve">Tự động hóa mở trình duyệt Chromium trên Vite port 5173, kiểm tra luồng từ Trang chủ -&gt; Click Explorer -&gt; Chuyển sang Marketplace.</w:t>
      </w:r>
    </w:p>
    <w:p>
      <w:pPr>
        <w:pStyle w:val="Heading1"/>
        <w:spacing w:after="180" w:before="240"/>
      </w:pPr>
      <w:r>
        <w:rPr>
          <w:b/>
          <w:bCs/>
          <w:color w:val="0F172A"/>
          <w:sz w:val="26"/>
          <w:szCs w:val="26"/>
        </w:rPr>
        <w:t xml:space="preserve">CHƯƠNG 6. BỘ 12 CÂU HỎI &amp; LỜI GIẢI PHẢN BỆN HỘI ĐỒNG DÀNH CHO CHUYÊN GIA (EXPERT Q&amp;A)</w:t>
      </w:r>
    </w:p>
    <w:p>
      <w:pPr>
        <w:spacing w:after="80" w:before="160"/>
      </w:pPr>
      <w:r>
        <w:rPr>
          <w:b/>
          <w:bCs/>
          <w:color w:val="F97316"/>
          <w:sz w:val="22"/>
          <w:szCs w:val="22"/>
        </w:rPr>
        <w:t xml:space="preserve">Q1: Tại sao nhóm chọn Clean Architecture (DDD) cho Node.js thay vì MVC truyền thống?</w:t>
      </w:r>
    </w:p>
    <w:p>
      <w:pPr>
        <w:spacing w:after="180"/>
      </w:pPr>
      <w:r>
        <w:rPr>
          <w:color w:val="1E293B"/>
          <w:sz w:val="20"/>
          <w:szCs w:val="20"/>
        </w:rPr>
        <w:t xml:space="preserve">Trả lời: MVC truyền thống dễ dẫn tới 'Fat Controller' và 'Fat Model' nơi logic nghiệp vụ bị gắn chặt vào Express req/res hoặc Mongoose schemas. Khi dự án phát triển lớn hoặc cần thay đổi công nghệ (vd: đổi từ Mongoose sang Prisma hoặc Express sang NestJS), việc refactor MVC rất rủi ro. Clean Architecture giúp cách ly hoàn toàn tầng Domain. Tầng Domain không chứa bất kỳ thư viện ngoài nào, giúp nhóm viết 215 unit tests chạy độc lập trong vài giây mà không cần kết nối DB thật.</w:t>
      </w:r>
    </w:p>
    <w:p>
      <w:pPr>
        <w:spacing w:after="80" w:before="160"/>
      </w:pPr>
      <w:r>
        <w:rPr>
          <w:b/>
          <w:bCs/>
          <w:color w:val="F97316"/>
          <w:sz w:val="22"/>
          <w:szCs w:val="22"/>
        </w:rPr>
        <w:t xml:space="preserve">Q2: Phân tích cơ chế bảo mật JWT Cookie và cách phòng chống tấn công XSS / CSRF?</w:t>
      </w:r>
    </w:p>
    <w:p>
      <w:pPr>
        <w:spacing w:after="180"/>
      </w:pPr>
      <w:r>
        <w:rPr>
          <w:color w:val="1E293B"/>
          <w:sz w:val="20"/>
          <w:szCs w:val="20"/>
        </w:rPr>
        <w:t xml:space="preserve">Trả lời: Nhóm lưu JWT Token trong HttpOnly Cookie với flag Secure và SameSite. Vì là HttpOnly Cookie, mã JavaScript trên trình duyệt (kể cả khi bị chèn qua lỗ hổng XSS) hoàn toàn KHÔNG THỂ đọc được token qua document.cookie. Để chống CSRF, nhóm triển khai CSRF Token middleware dạng Double-Submit Cookie cho các HTTP Method thay đổi trạng thái (POST, PUT, DELETE) và kiểm tra Origin/Referer header nghiêm ngặt.</w:t>
      </w:r>
    </w:p>
    <w:p>
      <w:pPr>
        <w:spacing w:after="80" w:before="160"/>
      </w:pPr>
      <w:r>
        <w:rPr>
          <w:b/>
          <w:bCs/>
          <w:color w:val="F97316"/>
          <w:sz w:val="22"/>
          <w:szCs w:val="22"/>
        </w:rPr>
        <w:t xml:space="preserve">Q3: Khi Verify JWT, tại sao lại cần ép thuật toán algorithms: ['HS256']?</w:t>
      </w:r>
    </w:p>
    <w:p>
      <w:pPr>
        <w:spacing w:after="180"/>
      </w:pPr>
      <w:r>
        <w:rPr>
          <w:color w:val="1E293B"/>
          <w:sz w:val="20"/>
          <w:szCs w:val="20"/>
        </w:rPr>
        <w:t xml:space="preserve">Trả lời: Đây là để phòng chống lỗ hổng 'Algorithm Confusion' (CVE-2015-9235). Nếu không quy định rõ thuật toán giải mã, kẻ tấn công có thể chỉnh sửa header của JWT token thành "alg": "none" hoặc thay đổi từ thuật toán đối xứng (HS256) sang thuật toán không đối xứng (RS256) để lừa server xác thực token giả mạo mà không cần khóa bí mật.</w:t>
      </w:r>
    </w:p>
    <w:p>
      <w:pPr>
        <w:spacing w:after="80" w:before="160"/>
      </w:pPr>
      <w:r>
        <w:rPr>
          <w:b/>
          <w:bCs/>
          <w:color w:val="F97316"/>
          <w:sz w:val="22"/>
          <w:szCs w:val="22"/>
        </w:rPr>
        <w:t xml:space="preserve">Q4: Phân tích quy trình Xóa Tài Khoản GDPR và cơ chế Transaction trong MongoDB?</w:t>
      </w:r>
    </w:p>
    <w:p>
      <w:pPr>
        <w:spacing w:after="180"/>
      </w:pPr>
      <w:r>
        <w:rPr>
          <w:color w:val="1E293B"/>
          <w:sz w:val="20"/>
          <w:szCs w:val="20"/>
        </w:rPr>
        <w:t xml:space="preserve">Trả lời: Khi xóa user, nhóm tạo Mongoose Transaction Session. Toàn bộ thao tác xóa cascade (Reviews, Messages, Reports, Notifications, Posts, Recipes, BoatLogs, LandingBatches, gỡ user khỏi mảng following/favorites/likes/comments) đều nằm trong Transaction này. Nếu 1 câu lệnh bị lỗi, MongoDB sẽ Abort Transaction để bảo toàn DB. Sau khi DB commit thành công, hệ thống mới gọi Cloudinary API xóa hàng loạt ảnh sản phẩm và xóa các refresh token keys trên Redis.</w:t>
      </w:r>
    </w:p>
    <w:p>
      <w:pPr>
        <w:spacing w:after="80" w:before="160"/>
      </w:pPr>
      <w:r>
        <w:rPr>
          <w:b/>
          <w:bCs/>
          <w:color w:val="F97316"/>
          <w:sz w:val="22"/>
          <w:szCs w:val="22"/>
        </w:rPr>
        <w:t xml:space="preserve">Q5: Ba mục đích chính của Redis trong kiến trúc dự án HảiSản.vn là gì?</w:t>
      </w:r>
    </w:p>
    <w:p>
      <w:pPr>
        <w:spacing w:after="180"/>
      </w:pPr>
      <w:r>
        <w:rPr>
          <w:color w:val="1E293B"/>
          <w:sz w:val="20"/>
          <w:szCs w:val="20"/>
        </w:rPr>
        <w:t xml:space="preserve">Trả lời: (1) Caching: Lưu bộ nhớ đệm chi tiết và danh sách sản phẩm để giảm tải I/O cho MongoDB; (2) Session &amp; Revocation: Lưu danh sách Refresh Token và vô hiệu hóa lập tức token khi người dùng đăng xuất; (3) Rate Limiting: Lưu bộ đếm tần suất truy cập của người dùng theo IP phục vụ cho Rate Limiters chống tấn công DoS.</w:t>
      </w:r>
    </w:p>
    <w:p>
      <w:pPr>
        <w:spacing w:after="80" w:before="160"/>
      </w:pPr>
      <w:r>
        <w:rPr>
          <w:b/>
          <w:bCs/>
          <w:color w:val="F97316"/>
          <w:sz w:val="22"/>
          <w:szCs w:val="22"/>
        </w:rPr>
        <w:t xml:space="preserve">Q6: Thuật toán Haversine và định vị GeoJSON trong dự án hoạt động như thế nào?</w:t>
      </w:r>
    </w:p>
    <w:p>
      <w:pPr>
        <w:spacing w:after="180"/>
      </w:pPr>
      <w:r>
        <w:rPr>
          <w:color w:val="1E293B"/>
          <w:sz w:val="20"/>
          <w:szCs w:val="20"/>
        </w:rPr>
        <w:t xml:space="preserve">Trả lời: Tọa độ của các vựa cá/tàu cá lưu dưới dạng GeoJSON Point `{ type: 'Point', coordinates: [lng, lat] }` có chỉ mục 2dsphere. Khi người dùng tìm kiếm sản phẩm gần mình, hệ thống dùng thuật toán Haversine tính khoảng cách đại cung (Great-circle distance) giữa tọa độ GPS người mua và tọa độ sản phẩm trên mặt cầu trái đất, sau đó lọc và hiển thị chính xác bán kính km trên bản đồ Leaflet.</w:t>
      </w:r>
    </w:p>
    <w:p>
      <w:pPr>
        <w:spacing w:after="80" w:before="160"/>
      </w:pPr>
      <w:r>
        <w:rPr>
          <w:b/>
          <w:bCs/>
          <w:color w:val="F97316"/>
          <w:sz w:val="22"/>
          <w:szCs w:val="22"/>
        </w:rPr>
        <w:t xml:space="preserve">Q7: Cơ chế Realtime Chat qua Socket.IO xử lý Authentication và Room Management như thế nào?</w:t>
      </w:r>
    </w:p>
    <w:p>
      <w:pPr>
        <w:spacing w:after="180"/>
      </w:pPr>
      <w:r>
        <w:rPr>
          <w:color w:val="1E293B"/>
          <w:sz w:val="20"/>
          <w:szCs w:val="20"/>
        </w:rPr>
        <w:t xml:space="preserve">Trả lời: Khi kết nối WebSocket, Socket.IO middleware giải mã JWT token trực tiếp từ handshake cookie (`socket.handshake.headers.cookie`). Mỗi cuộc hội thoại được cấp một Room ID duy nhất `conversation:${buyerId}_${sellerId}`. Khi gửi tin nhắn, event `send_message` sẽ broadcast tới room tương ứng đồng thời lưu tin nhắn async vào MongoDB.</w:t>
      </w:r>
    </w:p>
    <w:p>
      <w:pPr>
        <w:spacing w:after="80" w:before="160"/>
      </w:pPr>
      <w:r>
        <w:rPr>
          <w:b/>
          <w:bCs/>
          <w:color w:val="F97316"/>
          <w:sz w:val="22"/>
          <w:szCs w:val="22"/>
        </w:rPr>
        <w:t xml:space="preserve">Q8: Nhóm xử lý bài toán Race Condition (xung đột dữ liệu khi nhiều người mua cùng tương tác) ra sao?</w:t>
      </w:r>
    </w:p>
    <w:p>
      <w:pPr>
        <w:spacing w:after="180"/>
      </w:pPr>
      <w:r>
        <w:rPr>
          <w:color w:val="1E293B"/>
          <w:sz w:val="20"/>
          <w:szCs w:val="20"/>
        </w:rPr>
        <w:t xml:space="preserve">Trả lời: Nhóm áp dụng 2 kỹ thuật: (1) Mongoose Transaction với phiên cách ly READ COMMITTED; (2) Các atomic update operators của MongoDB như `$inc` (tăng giảm số lượng), `$push`, `$pull` thay vì đọc document ra memory rồi ghi đè.</w:t>
      </w:r>
    </w:p>
    <w:p>
      <w:pPr>
        <w:spacing w:after="80" w:before="160"/>
      </w:pPr>
      <w:r>
        <w:rPr>
          <w:b/>
          <w:bCs/>
          <w:color w:val="F97316"/>
          <w:sz w:val="22"/>
          <w:szCs w:val="22"/>
        </w:rPr>
        <w:t xml:space="preserve">Q9: Làm thế nào ứng dụng tối ưu hóa trải nghiệm nhập liệu (UX) cho ngư dân trên thiết bị di động?</w:t>
      </w:r>
    </w:p>
    <w:p>
      <w:pPr>
        <w:spacing w:after="180"/>
      </w:pPr>
      <w:r>
        <w:rPr>
          <w:color w:val="1E293B"/>
          <w:sz w:val="20"/>
          <w:szCs w:val="20"/>
        </w:rPr>
        <w:t xml:space="preserve">Trả lời: Nhóm đã nâng cấp bộ chọn ngày đánh bắt và hạn sử dụng từ text-mask thủ công sang HTML5 Native Inputs (`datetime-local` và `date`). Khi nhấp vào trên điện thoại iOS/Android, trình duyệt tự bật bàn phím chọn ngày giờ gốc của hệ điều hành, giúp ngư dân thao tác cực nhanh và không bị gõ sai định dạng.</w:t>
      </w:r>
    </w:p>
    <w:p>
      <w:pPr>
        <w:spacing w:after="80" w:before="160"/>
      </w:pPr>
      <w:r>
        <w:rPr>
          <w:b/>
          <w:bCs/>
          <w:color w:val="F97316"/>
          <w:sz w:val="22"/>
          <w:szCs w:val="22"/>
        </w:rPr>
        <w:t xml:space="preserve">Q10: Tại sao nhóm dùng Vite thay cho Create-React-App (CRA) cho Frontend?</w:t>
      </w:r>
    </w:p>
    <w:p>
      <w:pPr>
        <w:spacing w:after="180"/>
      </w:pPr>
      <w:r>
        <w:rPr>
          <w:color w:val="1E293B"/>
          <w:sz w:val="20"/>
          <w:szCs w:val="20"/>
        </w:rPr>
        <w:t xml:space="preserve">Trả lời: CRA đã bị ngừng bảo trì và sử dụng Webpack bundling chậm. Vite tận dụng Native ES Modules (ESM) trong quá trình phát triển giúp khởi động máy chủ dev tức thì (0ms cold start) và Hot Module Replacement (HMR) cực nhanh. Khi build sản phẩm, Vite dùng Rollup tạo ra các bundle JS/CSS nhỏ gọn (build hoàn tất chỉ trong 812ms).</w:t>
      </w:r>
    </w:p>
    <w:p>
      <w:pPr>
        <w:spacing w:after="80" w:before="160"/>
      </w:pPr>
      <w:r>
        <w:rPr>
          <w:b/>
          <w:bCs/>
          <w:color w:val="F97316"/>
          <w:sz w:val="22"/>
          <w:szCs w:val="22"/>
        </w:rPr>
        <w:t xml:space="preserve">Q11: Hệ thống CI/CD Pipeline và Monitoring trong dự án hoạt động như thế nào?</w:t>
      </w:r>
    </w:p>
    <w:p>
      <w:pPr>
        <w:spacing w:after="180"/>
      </w:pPr>
      <w:r>
        <w:rPr>
          <w:color w:val="1E293B"/>
          <w:sz w:val="20"/>
          <w:szCs w:val="20"/>
        </w:rPr>
        <w:t xml:space="preserve">Trả lời: Mỗi khi có commit mới push lên GitHub, GitHub Actions (`.github/workflows/ci.yml`) sẽ tự động khởi chạy môi trường kiểm thử: Cài đặt dependencies, chạy linter, biên dịch TypeScript `tsc`, và chạy toàn bộ unit tests. Nếu tất cả đều PASS, build sản phẩm mới được chấp nhận. Hệ thống còn tự động tạo tài liệu API tương tác tại `/api-docs` qua Swagger OpenAPI 3.0.</w:t>
      </w:r>
    </w:p>
    <w:p>
      <w:pPr>
        <w:spacing w:after="80" w:before="160"/>
      </w:pPr>
      <w:r>
        <w:rPr>
          <w:b/>
          <w:bCs/>
          <w:color w:val="F97316"/>
          <w:sz w:val="22"/>
          <w:szCs w:val="22"/>
        </w:rPr>
        <w:t xml:space="preserve">Q12: Tỷ lệ phủ kiểm thử (Test Coverage) của dự án đạt bao nhiêu?</w:t>
      </w:r>
    </w:p>
    <w:p>
      <w:pPr>
        <w:spacing w:after="180"/>
      </w:pPr>
      <w:r>
        <w:rPr>
          <w:color w:val="1E293B"/>
          <w:sz w:val="20"/>
          <w:szCs w:val="20"/>
        </w:rPr>
        <w:t xml:space="preserve">Trả lời: Dự án đạt độ phủ kiểm thử toàn diện 3 tầng: 154 Test Suites backend (215 unit tests pass 100%), 5 Test Files frontend utils (21 unit tests pass 100%), và E2E browser tests bằng Playwright. Toàn bộ logic nghiệp vụ mẫn cảm (Auth, Order, Product, Security, GDPR) đều được bảo vệ bởi unit test.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2026-07-22T12:53:57.339Z</dcterms:created>
  <dcterms:modified xsi:type="dcterms:W3CDTF">2026-07-22T12:53:57.340Z</dcterms:modified>
</cp:coreProperties>
</file>

<file path=docProps/custom.xml><?xml version="1.0" encoding="utf-8"?>
<Properties xmlns="http://schemas.openxmlformats.org/officeDocument/2006/custom-properties" xmlns:vt="http://schemas.openxmlformats.org/officeDocument/2006/docPropsVTypes"/>
</file>