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50AA7" w14:textId="77777777" w:rsidR="00F60CCD" w:rsidRDefault="00030A2C" w:rsidP="00030A2C">
      <w:pPr>
        <w:pStyle w:val="Heading1"/>
      </w:pPr>
      <w:r>
        <w:t>Conceptual Structure for GAIN</w:t>
      </w:r>
      <w:r w:rsidRPr="00030A2C">
        <w:rPr>
          <w:vertAlign w:val="superscript"/>
        </w:rPr>
        <w:t>TM</w:t>
      </w:r>
      <w:r>
        <w:t xml:space="preserve"> </w:t>
      </w:r>
      <w:r w:rsidR="00680754">
        <w:t>1+</w:t>
      </w:r>
    </w:p>
    <w:p w14:paraId="78E695AF" w14:textId="77777777" w:rsidR="00030A2C" w:rsidRDefault="00030A2C"/>
    <w:p w14:paraId="410965CB" w14:textId="77777777" w:rsidR="00510C07" w:rsidRDefault="00030A2C">
      <w:r>
        <w:t xml:space="preserve">We are seeking a conceptual structure that describes in (largely) quantitative terms countries’ </w:t>
      </w:r>
      <w:r w:rsidRPr="00030A2C">
        <w:rPr>
          <w:b/>
        </w:rPr>
        <w:t>vulnerability</w:t>
      </w:r>
      <w:r>
        <w:t xml:space="preserve"> to climate change, its </w:t>
      </w:r>
      <w:r w:rsidRPr="00030A2C">
        <w:rPr>
          <w:b/>
        </w:rPr>
        <w:t>capacity</w:t>
      </w:r>
      <w:r>
        <w:t xml:space="preserve"> to cope with that change and its </w:t>
      </w:r>
      <w:r w:rsidRPr="00030A2C">
        <w:rPr>
          <w:b/>
        </w:rPr>
        <w:t>readiness</w:t>
      </w:r>
      <w:r>
        <w:t xml:space="preserve"> to do so</w:t>
      </w:r>
      <w:r>
        <w:rPr>
          <w:rStyle w:val="FootnoteReference"/>
        </w:rPr>
        <w:footnoteReference w:id="1"/>
      </w:r>
      <w:r>
        <w:t xml:space="preserve"> and that is scalable down to sub-national level and ultimately to local level, which the scale of many adaptation interventions.  </w:t>
      </w:r>
    </w:p>
    <w:p w14:paraId="2092E31B" w14:textId="77777777" w:rsidR="00510C07" w:rsidRDefault="00510C07"/>
    <w:p w14:paraId="3E1F4BCA" w14:textId="77777777" w:rsidR="00030A2C" w:rsidRDefault="00030A2C">
      <w:r>
        <w:t>The Global Adaptation Institute seeks to encourage and support the engagement of the private sector in adapting to climate change, thus GAIN</w:t>
      </w:r>
      <w:r w:rsidRPr="00030A2C">
        <w:rPr>
          <w:vertAlign w:val="superscript"/>
        </w:rPr>
        <w:t>TM</w:t>
      </w:r>
      <w:r>
        <w:t xml:space="preserve"> will reflect this priority.</w:t>
      </w:r>
    </w:p>
    <w:p w14:paraId="51AB5B13" w14:textId="77777777" w:rsidR="00030A2C" w:rsidRDefault="00030A2C"/>
    <w:p w14:paraId="35D1C7D0" w14:textId="77777777" w:rsidR="00030A2C" w:rsidRDefault="00030A2C">
      <w:r w:rsidRPr="008022E6">
        <w:rPr>
          <w:b/>
        </w:rPr>
        <w:t>Vulnerability</w:t>
      </w:r>
      <w:r>
        <w:t xml:space="preserve"> here means both exposure to climate risks and the sensitivity to their impacts</w:t>
      </w:r>
      <w:r w:rsidR="008022E6">
        <w:t xml:space="preserve"> at the scale of consideration</w:t>
      </w:r>
      <w:r>
        <w:t>.</w:t>
      </w:r>
    </w:p>
    <w:p w14:paraId="4BEB3D38" w14:textId="77777777" w:rsidR="00030A2C" w:rsidRDefault="00030A2C"/>
    <w:p w14:paraId="1A987233" w14:textId="77777777" w:rsidR="00030A2C" w:rsidRDefault="00030A2C">
      <w:r w:rsidRPr="008022E6">
        <w:rPr>
          <w:b/>
        </w:rPr>
        <w:t>Capacity</w:t>
      </w:r>
      <w:r>
        <w:t xml:space="preserve"> is the capacity of the people at each scale to modify the characteristics of their environment or their behavior to better cope with climate change.</w:t>
      </w:r>
    </w:p>
    <w:p w14:paraId="6561D4BC" w14:textId="77777777" w:rsidR="00030A2C" w:rsidRDefault="00030A2C"/>
    <w:p w14:paraId="752B11B3" w14:textId="77777777" w:rsidR="00030A2C" w:rsidRDefault="00030A2C">
      <w:r w:rsidRPr="008022E6">
        <w:rPr>
          <w:b/>
        </w:rPr>
        <w:t>Readiness</w:t>
      </w:r>
      <w:r>
        <w:t xml:space="preserve"> is the </w:t>
      </w:r>
      <w:r w:rsidR="008022E6">
        <w:t xml:space="preserve">enthusiasm and </w:t>
      </w:r>
      <w:r>
        <w:t xml:space="preserve">ability of a country, region or local community to </w:t>
      </w:r>
      <w:r w:rsidR="008022E6">
        <w:t>absorb additional resources and apply them effectively to reducing their vulnerability or increasing their capacity to cope with climate change.</w:t>
      </w:r>
      <w:r>
        <w:t xml:space="preserve"> </w:t>
      </w:r>
    </w:p>
    <w:p w14:paraId="10530554" w14:textId="77777777" w:rsidR="008022E6" w:rsidRDefault="008022E6"/>
    <w:p w14:paraId="5C002063" w14:textId="77777777" w:rsidR="008022E6" w:rsidRDefault="008022E6">
      <w:r>
        <w:t xml:space="preserve">GAINTM 1+ seeks to develop a </w:t>
      </w:r>
      <w:r w:rsidR="00510C07">
        <w:t>framework</w:t>
      </w:r>
      <w:r>
        <w:t xml:space="preserve"> for a set of components to quantitatively estimate these three axes across scales. Some of the measures (variables) used to represent each of these scales will be applicable across scales (e.g. number of HH with access to improved sanitation); others </w:t>
      </w:r>
      <w:r w:rsidR="00510C07">
        <w:t xml:space="preserve">measures </w:t>
      </w:r>
      <w:r>
        <w:t>may have to be modified</w:t>
      </w:r>
      <w:r w:rsidR="00510C07">
        <w:t xml:space="preserve"> (e.g</w:t>
      </w:r>
      <w:proofErr w:type="gramStart"/>
      <w:r w:rsidR="00510C07">
        <w:t>.  )</w:t>
      </w:r>
      <w:proofErr w:type="gramEnd"/>
      <w:r w:rsidR="00510C07">
        <w:t xml:space="preserve"> while for others a complete substitution may need to be made.  But in this latter case </w:t>
      </w:r>
    </w:p>
    <w:p w14:paraId="0BE74AA3" w14:textId="77777777" w:rsidR="008022E6" w:rsidRDefault="008022E6"/>
    <w:p w14:paraId="43270C6E" w14:textId="77777777" w:rsidR="008022E6" w:rsidRDefault="00562B83">
      <w:pPr>
        <w:rPr>
          <w:rFonts w:eastAsia="Times New Roman" w:cs="Times New Roman"/>
        </w:rPr>
      </w:pPr>
      <w:r w:rsidRPr="00562B83">
        <w:rPr>
          <w:rFonts w:eastAsia="Times New Roman" w:cs="Times New Roman"/>
          <w:b/>
        </w:rPr>
        <w:t>Business freedom</w:t>
      </w:r>
      <w:r>
        <w:rPr>
          <w:rFonts w:eastAsia="Times New Roman" w:cs="Times New Roman"/>
        </w:rPr>
        <w:t xml:space="preserve"> is a quantitative measure of the ability to start, operate, and close a business that represents the overall burden of regulation as well as the efficiency of government in the regulatory process.</w:t>
      </w:r>
    </w:p>
    <w:p w14:paraId="4C14C129" w14:textId="77777777" w:rsidR="00562B83" w:rsidRDefault="00562B83">
      <w:pPr>
        <w:rPr>
          <w:rFonts w:eastAsia="Times New Roman" w:cs="Times New Roman"/>
        </w:rPr>
      </w:pPr>
      <w:r w:rsidRPr="00562B83">
        <w:rPr>
          <w:rFonts w:eastAsia="Times New Roman" w:cs="Times New Roman"/>
          <w:b/>
        </w:rPr>
        <w:t>Trade freedom</w:t>
      </w:r>
      <w:r>
        <w:rPr>
          <w:rFonts w:eastAsia="Times New Roman" w:cs="Times New Roman"/>
        </w:rPr>
        <w:t xml:space="preserve"> is a composite measure of the absence of tariff and non-tariff barriers that affect imports and exports of goods and services.</w:t>
      </w:r>
    </w:p>
    <w:p w14:paraId="53431CA2" w14:textId="77777777" w:rsidR="00562B83" w:rsidRDefault="00562B83">
      <w:pPr>
        <w:rPr>
          <w:rFonts w:eastAsia="Times New Roman" w:cs="Times New Roman"/>
        </w:rPr>
      </w:pPr>
      <w:r w:rsidRPr="00562B83">
        <w:rPr>
          <w:rFonts w:eastAsia="Times New Roman" w:cs="Times New Roman"/>
          <w:b/>
        </w:rPr>
        <w:t>Fiscal freedom</w:t>
      </w:r>
      <w:r>
        <w:rPr>
          <w:rFonts w:eastAsia="Times New Roman" w:cs="Times New Roman"/>
        </w:rPr>
        <w:t xml:space="preserve"> is a measure of the tax burden imposed by government.</w:t>
      </w:r>
    </w:p>
    <w:p w14:paraId="50AE4B6B" w14:textId="77777777" w:rsidR="00562B83" w:rsidRDefault="00562B83">
      <w:pPr>
        <w:rPr>
          <w:rFonts w:eastAsia="Times New Roman" w:cs="Times New Roman"/>
        </w:rPr>
      </w:pPr>
      <w:r w:rsidRPr="00562B83">
        <w:rPr>
          <w:rFonts w:eastAsia="Times New Roman" w:cs="Times New Roman"/>
          <w:b/>
        </w:rPr>
        <w:t>Government spending</w:t>
      </w:r>
      <w:r>
        <w:rPr>
          <w:rFonts w:eastAsia="Times New Roman" w:cs="Times New Roman"/>
        </w:rPr>
        <w:t xml:space="preserve"> considers the level of government expenditures as a percentage of GDP.</w:t>
      </w:r>
    </w:p>
    <w:p w14:paraId="4990162C" w14:textId="77777777" w:rsidR="00562B83" w:rsidRDefault="00562B83">
      <w:pPr>
        <w:rPr>
          <w:rFonts w:eastAsia="Times New Roman" w:cs="Times New Roman"/>
        </w:rPr>
      </w:pPr>
      <w:r w:rsidRPr="00562B83">
        <w:rPr>
          <w:rFonts w:eastAsia="Times New Roman" w:cs="Times New Roman"/>
          <w:b/>
        </w:rPr>
        <w:t>Monetary freedom</w:t>
      </w:r>
      <w:r>
        <w:rPr>
          <w:rFonts w:eastAsia="Times New Roman" w:cs="Times New Roman"/>
        </w:rPr>
        <w:t xml:space="preserve"> combines a measure of price stability with an assessment of price controls.</w:t>
      </w:r>
    </w:p>
    <w:p w14:paraId="37AF68B5" w14:textId="77777777" w:rsidR="00562B83" w:rsidRDefault="00562B83">
      <w:pPr>
        <w:rPr>
          <w:rFonts w:eastAsia="Times New Roman" w:cs="Times New Roman"/>
        </w:rPr>
      </w:pPr>
      <w:r w:rsidRPr="00562B83">
        <w:rPr>
          <w:rFonts w:eastAsia="Times New Roman" w:cs="Times New Roman"/>
          <w:b/>
        </w:rPr>
        <w:t>Investment freedom</w:t>
      </w:r>
      <w:r>
        <w:rPr>
          <w:rFonts w:eastAsia="Times New Roman" w:cs="Times New Roman"/>
        </w:rPr>
        <w:t xml:space="preserve"> evaluates a variety of restrictions typically imposed on investment.</w:t>
      </w:r>
    </w:p>
    <w:p w14:paraId="5F50AF9C" w14:textId="77777777" w:rsidR="00562B83" w:rsidRDefault="00562B83">
      <w:pPr>
        <w:rPr>
          <w:rFonts w:eastAsia="Times New Roman" w:cs="Times New Roman"/>
        </w:rPr>
      </w:pPr>
      <w:r w:rsidRPr="00562B83">
        <w:rPr>
          <w:rFonts w:eastAsia="Times New Roman" w:cs="Times New Roman"/>
          <w:b/>
        </w:rPr>
        <w:lastRenderedPageBreak/>
        <w:t>Financial freedom</w:t>
      </w:r>
      <w:r>
        <w:rPr>
          <w:rFonts w:eastAsia="Times New Roman" w:cs="Times New Roman"/>
        </w:rPr>
        <w:t xml:space="preserve"> is a measure of banking efficiency as well as a measure of independence from government control and interference in the financial sector.</w:t>
      </w:r>
    </w:p>
    <w:p w14:paraId="356DD4EE" w14:textId="77777777" w:rsidR="00562B83" w:rsidRDefault="00562B83">
      <w:pPr>
        <w:rPr>
          <w:rFonts w:eastAsia="Times New Roman" w:cs="Times New Roman"/>
        </w:rPr>
      </w:pPr>
      <w:r>
        <w:rPr>
          <w:rFonts w:eastAsia="Times New Roman" w:cs="Times New Roman"/>
        </w:rPr>
        <w:t xml:space="preserve">The </w:t>
      </w:r>
      <w:r w:rsidRPr="00562B83">
        <w:rPr>
          <w:rFonts w:eastAsia="Times New Roman" w:cs="Times New Roman"/>
          <w:b/>
        </w:rPr>
        <w:t>property rights</w:t>
      </w:r>
      <w:r>
        <w:rPr>
          <w:rFonts w:eastAsia="Times New Roman" w:cs="Times New Roman"/>
        </w:rPr>
        <w:t xml:space="preserve"> component is an assessment of the ability of individuals to accumulate private property, secured by clear laws that are fully enforced by the state.</w:t>
      </w:r>
    </w:p>
    <w:p w14:paraId="518E7F75" w14:textId="77777777" w:rsidR="00562B83" w:rsidRDefault="00562B83">
      <w:pPr>
        <w:rPr>
          <w:rFonts w:eastAsia="Times New Roman" w:cs="Times New Roman"/>
        </w:rPr>
      </w:pPr>
      <w:r>
        <w:rPr>
          <w:rFonts w:eastAsia="Times New Roman" w:cs="Times New Roman"/>
        </w:rPr>
        <w:t xml:space="preserve">The </w:t>
      </w:r>
      <w:r w:rsidRPr="00562B83">
        <w:rPr>
          <w:rFonts w:eastAsia="Times New Roman" w:cs="Times New Roman"/>
          <w:b/>
        </w:rPr>
        <w:t>c</w:t>
      </w:r>
      <w:r w:rsidRPr="00562B83">
        <w:rPr>
          <w:rFonts w:eastAsia="Times New Roman" w:cs="Times New Roman"/>
          <w:b/>
        </w:rPr>
        <w:t>orruption</w:t>
      </w:r>
      <w:r w:rsidRPr="00562B83">
        <w:rPr>
          <w:rFonts w:eastAsia="Times New Roman" w:cs="Times New Roman"/>
          <w:b/>
        </w:rPr>
        <w:t xml:space="preserve"> component</w:t>
      </w:r>
      <w:r>
        <w:rPr>
          <w:rFonts w:eastAsia="Times New Roman" w:cs="Times New Roman"/>
        </w:rPr>
        <w:t xml:space="preserve"> measures how much </w:t>
      </w:r>
      <w:r>
        <w:rPr>
          <w:rFonts w:eastAsia="Times New Roman" w:cs="Times New Roman"/>
        </w:rPr>
        <w:t xml:space="preserve">economic freedom </w:t>
      </w:r>
      <w:proofErr w:type="gramStart"/>
      <w:r>
        <w:rPr>
          <w:rFonts w:eastAsia="Times New Roman" w:cs="Times New Roman"/>
        </w:rPr>
        <w:t>is eroded</w:t>
      </w:r>
      <w:r>
        <w:rPr>
          <w:rFonts w:eastAsia="Times New Roman" w:cs="Times New Roman"/>
        </w:rPr>
        <w:t xml:space="preserve"> by introducing insecurity and uncertainty into economic relationships</w:t>
      </w:r>
      <w:proofErr w:type="gramEnd"/>
      <w:r>
        <w:rPr>
          <w:rFonts w:eastAsia="Times New Roman" w:cs="Times New Roman"/>
        </w:rPr>
        <w:t>.</w:t>
      </w:r>
    </w:p>
    <w:p w14:paraId="62BC92E7" w14:textId="77777777" w:rsidR="00562B83" w:rsidRDefault="00562B83">
      <w:r>
        <w:rPr>
          <w:rFonts w:eastAsia="Times New Roman" w:cs="Times New Roman"/>
        </w:rPr>
        <w:t xml:space="preserve">The </w:t>
      </w:r>
      <w:r w:rsidRPr="00562B83">
        <w:rPr>
          <w:rFonts w:eastAsia="Times New Roman" w:cs="Times New Roman"/>
          <w:b/>
        </w:rPr>
        <w:t>labor freedom</w:t>
      </w:r>
      <w:r>
        <w:rPr>
          <w:rFonts w:eastAsia="Times New Roman" w:cs="Times New Roman"/>
        </w:rPr>
        <w:t xml:space="preserve"> component is a quantitative measure that looks into various aspects of the legal and regulatory framework of a country’s labor market.</w:t>
      </w:r>
    </w:p>
    <w:p w14:paraId="775C9B3B" w14:textId="77777777" w:rsidR="00030A2C" w:rsidRDefault="00030A2C">
      <w:bookmarkStart w:id="0" w:name="_GoBack"/>
      <w:bookmarkEnd w:id="0"/>
    </w:p>
    <w:sectPr w:rsidR="00030A2C" w:rsidSect="00F60CC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00A33" w14:textId="77777777" w:rsidR="00680754" w:rsidRDefault="00680754" w:rsidP="00030A2C">
      <w:r>
        <w:separator/>
      </w:r>
    </w:p>
  </w:endnote>
  <w:endnote w:type="continuationSeparator" w:id="0">
    <w:p w14:paraId="652FE010" w14:textId="77777777" w:rsidR="00680754" w:rsidRDefault="00680754" w:rsidP="00030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C152E" w14:textId="77777777" w:rsidR="00680754" w:rsidRDefault="00680754" w:rsidP="00030A2C">
      <w:r>
        <w:separator/>
      </w:r>
    </w:p>
  </w:footnote>
  <w:footnote w:type="continuationSeparator" w:id="0">
    <w:p w14:paraId="5CA19912" w14:textId="77777777" w:rsidR="00680754" w:rsidRDefault="00680754" w:rsidP="00030A2C">
      <w:r>
        <w:continuationSeparator/>
      </w:r>
    </w:p>
  </w:footnote>
  <w:footnote w:id="1">
    <w:p w14:paraId="1E27FB5F" w14:textId="77777777" w:rsidR="00680754" w:rsidRDefault="00680754">
      <w:pPr>
        <w:pStyle w:val="FootnoteText"/>
      </w:pPr>
      <w:r>
        <w:rPr>
          <w:rStyle w:val="FootnoteReference"/>
        </w:rPr>
        <w:footnoteRef/>
      </w:r>
      <w:r>
        <w:t xml:space="preserve"> Note:  The bolded terms here are not used in the same way that they are defined in GAIN</w:t>
      </w:r>
      <w:r w:rsidRPr="00030A2C">
        <w:rPr>
          <w:vertAlign w:val="superscript"/>
        </w:rPr>
        <w:t>TM</w:t>
      </w:r>
      <w:r>
        <w:t xml:space="preserve"> 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A2C"/>
    <w:rsid w:val="00030A2C"/>
    <w:rsid w:val="00510C07"/>
    <w:rsid w:val="00562B83"/>
    <w:rsid w:val="00680754"/>
    <w:rsid w:val="008022E6"/>
    <w:rsid w:val="00F60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E0F3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0A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A2C"/>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030A2C"/>
  </w:style>
  <w:style w:type="character" w:customStyle="1" w:styleId="FootnoteTextChar">
    <w:name w:val="Footnote Text Char"/>
    <w:basedOn w:val="DefaultParagraphFont"/>
    <w:link w:val="FootnoteText"/>
    <w:uiPriority w:val="99"/>
    <w:rsid w:val="00030A2C"/>
  </w:style>
  <w:style w:type="character" w:styleId="FootnoteReference">
    <w:name w:val="footnote reference"/>
    <w:basedOn w:val="DefaultParagraphFont"/>
    <w:uiPriority w:val="99"/>
    <w:unhideWhenUsed/>
    <w:rsid w:val="00030A2C"/>
    <w:rPr>
      <w:vertAlign w:val="superscript"/>
    </w:rPr>
  </w:style>
  <w:style w:type="character" w:styleId="Emphasis">
    <w:name w:val="Emphasis"/>
    <w:basedOn w:val="DefaultParagraphFont"/>
    <w:uiPriority w:val="20"/>
    <w:qFormat/>
    <w:rsid w:val="00562B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0A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A2C"/>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030A2C"/>
  </w:style>
  <w:style w:type="character" w:customStyle="1" w:styleId="FootnoteTextChar">
    <w:name w:val="Footnote Text Char"/>
    <w:basedOn w:val="DefaultParagraphFont"/>
    <w:link w:val="FootnoteText"/>
    <w:uiPriority w:val="99"/>
    <w:rsid w:val="00030A2C"/>
  </w:style>
  <w:style w:type="character" w:styleId="FootnoteReference">
    <w:name w:val="footnote reference"/>
    <w:basedOn w:val="DefaultParagraphFont"/>
    <w:uiPriority w:val="99"/>
    <w:unhideWhenUsed/>
    <w:rsid w:val="00030A2C"/>
    <w:rPr>
      <w:vertAlign w:val="superscript"/>
    </w:rPr>
  </w:style>
  <w:style w:type="character" w:styleId="Emphasis">
    <w:name w:val="Emphasis"/>
    <w:basedOn w:val="DefaultParagraphFont"/>
    <w:uiPriority w:val="20"/>
    <w:qFormat/>
    <w:rsid w:val="00562B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415</Words>
  <Characters>2371</Characters>
  <Application>Microsoft Macintosh Word</Application>
  <DocSecurity>0</DocSecurity>
  <Lines>19</Lines>
  <Paragraphs>5</Paragraphs>
  <ScaleCrop>false</ScaleCrop>
  <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Noble</dc:creator>
  <cp:keywords/>
  <dc:description/>
  <cp:lastModifiedBy>Ian Noble</cp:lastModifiedBy>
  <cp:revision>2</cp:revision>
  <dcterms:created xsi:type="dcterms:W3CDTF">2011-07-14T17:04:00Z</dcterms:created>
  <dcterms:modified xsi:type="dcterms:W3CDTF">2011-07-14T17:48:00Z</dcterms:modified>
</cp:coreProperties>
</file>