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9164D" w14:textId="77777777" w:rsidR="00936ABF" w:rsidRDefault="00B873F6" w:rsidP="00B873F6">
      <w:pPr>
        <w:pStyle w:val="Heading1"/>
      </w:pPr>
      <w:r>
        <w:t>GAIN Main Website</w:t>
      </w:r>
    </w:p>
    <w:p w14:paraId="0CF98E06" w14:textId="77777777" w:rsidR="00B873F6" w:rsidRDefault="00B873F6" w:rsidP="00B873F6"/>
    <w:p w14:paraId="5CCA2E01" w14:textId="77777777" w:rsidR="00B873F6" w:rsidRDefault="00B873F6" w:rsidP="00B873F6">
      <w:r>
        <w:t xml:space="preserve">In the following, I´m using the same period as the Index Website study </w:t>
      </w:r>
      <w:r>
        <w:rPr>
          <w:bCs/>
        </w:rPr>
        <w:t xml:space="preserve">(Sept. 14, 2011 </w:t>
      </w:r>
      <w:r w:rsidRPr="001357D4">
        <w:rPr>
          <w:bCs/>
        </w:rPr>
        <w:t xml:space="preserve">until </w:t>
      </w:r>
      <w:r>
        <w:rPr>
          <w:bCs/>
        </w:rPr>
        <w:t>July 24, 2012)</w:t>
      </w:r>
      <w:r>
        <w:t>, for comparison, but we are tracking visitors since before. This is specially important to measure the impact of the new website we made around November.</w:t>
      </w:r>
    </w:p>
    <w:p w14:paraId="5353D48C" w14:textId="77777777" w:rsidR="00B873F6" w:rsidRDefault="00B873F6" w:rsidP="00B873F6"/>
    <w:p w14:paraId="520DE62F" w14:textId="77777777" w:rsidR="00B873F6" w:rsidRPr="00C173EF" w:rsidRDefault="00B873F6" w:rsidP="00B873F6">
      <w:pPr>
        <w:pStyle w:val="ListParagraph"/>
        <w:numPr>
          <w:ilvl w:val="0"/>
          <w:numId w:val="1"/>
        </w:numPr>
        <w:jc w:val="both"/>
        <w:rPr>
          <w:rFonts w:eastAsiaTheme="minorEastAsia"/>
          <w:bCs/>
        </w:rPr>
      </w:pPr>
      <w:r>
        <w:rPr>
          <w:rFonts w:eastAsia="Times New Roman" w:cs="Times New Roman"/>
          <w:bCs/>
          <w:color w:val="000000"/>
          <w:shd w:val="clear" w:color="auto" w:fill="FFFFFF"/>
        </w:rPr>
        <w:t>Approximately</w:t>
      </w:r>
      <w:r w:rsidRPr="00266C3F">
        <w:rPr>
          <w:rFonts w:eastAsia="Times New Roman" w:cs="Times New Roman"/>
          <w:bCs/>
          <w:color w:val="000000"/>
          <w:shd w:val="clear" w:color="auto" w:fill="FFFFFF"/>
        </w:rPr>
        <w:t xml:space="preserve"> </w:t>
      </w:r>
      <w:r>
        <w:rPr>
          <w:rFonts w:eastAsia="Times New Roman" w:cs="Times New Roman"/>
          <w:bCs/>
          <w:color w:val="000000"/>
          <w:shd w:val="clear" w:color="auto" w:fill="FFFFFF"/>
        </w:rPr>
        <w:t>19.000</w:t>
      </w:r>
      <w:r w:rsidRPr="00266C3F">
        <w:rPr>
          <w:rFonts w:eastAsia="Times New Roman" w:cs="Times New Roman"/>
          <w:bCs/>
          <w:color w:val="000000"/>
          <w:shd w:val="clear" w:color="auto" w:fill="FFFFFF"/>
        </w:rPr>
        <w:t xml:space="preserve"> visits</w:t>
      </w:r>
      <w:r>
        <w:rPr>
          <w:rFonts w:eastAsia="Times New Roman" w:cs="Times New Roman"/>
          <w:bCs/>
          <w:color w:val="000000"/>
          <w:shd w:val="clear" w:color="auto" w:fill="FFFFFF"/>
        </w:rPr>
        <w:t xml:space="preserve"> (11k less than the Index)</w:t>
      </w:r>
      <w:r w:rsidRPr="00266C3F">
        <w:rPr>
          <w:rFonts w:eastAsia="Times New Roman" w:cs="Times New Roman"/>
          <w:bCs/>
          <w:color w:val="000000"/>
          <w:shd w:val="clear" w:color="auto" w:fill="FFFFFF"/>
        </w:rPr>
        <w:t xml:space="preserve">, of which at least </w:t>
      </w:r>
      <w:r>
        <w:rPr>
          <w:rFonts w:eastAsia="Times New Roman" w:cs="Times New Roman"/>
          <w:bCs/>
          <w:color w:val="000000"/>
          <w:shd w:val="clear" w:color="auto" w:fill="FFFFFF"/>
        </w:rPr>
        <w:t>1</w:t>
      </w:r>
      <w:r w:rsidRPr="00266C3F">
        <w:rPr>
          <w:rFonts w:eastAsia="Times New Roman" w:cs="Times New Roman"/>
          <w:bCs/>
          <w:color w:val="000000"/>
          <w:shd w:val="clear" w:color="auto" w:fill="FFFFFF"/>
        </w:rPr>
        <w:t>2</w:t>
      </w:r>
      <w:r>
        <w:rPr>
          <w:rFonts w:eastAsia="Times New Roman" w:cs="Times New Roman"/>
          <w:bCs/>
          <w:color w:val="000000"/>
          <w:shd w:val="clear" w:color="auto" w:fill="FFFFFF"/>
        </w:rPr>
        <w:t>,</w:t>
      </w:r>
      <w:r w:rsidRPr="00266C3F">
        <w:rPr>
          <w:rFonts w:eastAsia="Times New Roman" w:cs="Times New Roman"/>
          <w:bCs/>
          <w:color w:val="000000"/>
          <w:shd w:val="clear" w:color="auto" w:fill="FFFFFF"/>
        </w:rPr>
        <w:t>000 are unique visitors</w:t>
      </w:r>
      <w:r>
        <w:rPr>
          <w:rFonts w:eastAsia="Times New Roman" w:cs="Times New Roman"/>
          <w:bCs/>
          <w:color w:val="000000"/>
          <w:shd w:val="clear" w:color="auto" w:fill="FFFFFF"/>
        </w:rPr>
        <w:t xml:space="preserve"> (8k less than Index)</w:t>
      </w:r>
      <w:r w:rsidRPr="00266C3F">
        <w:rPr>
          <w:rFonts w:eastAsia="Times New Roman" w:cs="Times New Roman"/>
          <w:bCs/>
          <w:color w:val="000000"/>
          <w:shd w:val="clear" w:color="auto" w:fill="FFFFFF"/>
        </w:rPr>
        <w:t>.</w:t>
      </w:r>
      <w:r w:rsidRPr="00FD3595">
        <w:rPr>
          <w:rFonts w:eastAsia="Times New Roman" w:cs="Times New Roman"/>
          <w:bCs/>
          <w:color w:val="000000"/>
          <w:shd w:val="clear" w:color="auto" w:fill="FFFFFF"/>
        </w:rPr>
        <w:t xml:space="preserve"> </w:t>
      </w:r>
    </w:p>
    <w:p w14:paraId="7A44856B" w14:textId="77777777" w:rsidR="00B873F6" w:rsidRPr="00266C3F" w:rsidRDefault="00B873F6" w:rsidP="00B873F6">
      <w:pPr>
        <w:pStyle w:val="ListParagraph"/>
        <w:numPr>
          <w:ilvl w:val="0"/>
          <w:numId w:val="1"/>
        </w:numPr>
        <w:jc w:val="both"/>
        <w:rPr>
          <w:rFonts w:eastAsiaTheme="minorEastAsia"/>
          <w:bCs/>
        </w:rPr>
      </w:pPr>
      <w:r>
        <w:rPr>
          <w:rFonts w:eastAsia="Times New Roman" w:cs="Times New Roman"/>
          <w:bCs/>
          <w:color w:val="000000"/>
          <w:shd w:val="clear" w:color="auto" w:fill="FFFFFF"/>
        </w:rPr>
        <w:t xml:space="preserve">Each visitor viewed about three pages per visit (same as the Index), giving at total of </w:t>
      </w:r>
      <w:r>
        <w:rPr>
          <w:bCs/>
        </w:rPr>
        <w:t>53,232</w:t>
      </w:r>
      <w:r w:rsidRPr="00266C3F">
        <w:rPr>
          <w:bCs/>
        </w:rPr>
        <w:t xml:space="preserve"> </w:t>
      </w:r>
      <w:r>
        <w:rPr>
          <w:bCs/>
        </w:rPr>
        <w:t>p</w:t>
      </w:r>
      <w:r w:rsidRPr="00266C3F">
        <w:rPr>
          <w:bCs/>
        </w:rPr>
        <w:t xml:space="preserve">age </w:t>
      </w:r>
      <w:r>
        <w:rPr>
          <w:bCs/>
        </w:rPr>
        <w:t>v</w:t>
      </w:r>
      <w:r w:rsidRPr="00266C3F">
        <w:rPr>
          <w:bCs/>
        </w:rPr>
        <w:t>iews</w:t>
      </w:r>
      <w:r>
        <w:rPr>
          <w:bCs/>
        </w:rPr>
        <w:t xml:space="preserve"> (85k the Index).</w:t>
      </w:r>
    </w:p>
    <w:p w14:paraId="31BF4CBD" w14:textId="77777777" w:rsidR="00B873F6" w:rsidRPr="00B873F6" w:rsidRDefault="00B873F6" w:rsidP="00B873F6">
      <w:pPr>
        <w:pStyle w:val="ListParagraph"/>
        <w:numPr>
          <w:ilvl w:val="0"/>
          <w:numId w:val="1"/>
        </w:numPr>
        <w:jc w:val="both"/>
        <w:rPr>
          <w:rFonts w:eastAsiaTheme="minorEastAsia"/>
          <w:bCs/>
        </w:rPr>
      </w:pPr>
      <w:r>
        <w:rPr>
          <w:bCs/>
        </w:rPr>
        <w:t>The</w:t>
      </w:r>
      <w:r w:rsidRPr="00266C3F">
        <w:rPr>
          <w:bCs/>
        </w:rPr>
        <w:t xml:space="preserve"> a</w:t>
      </w:r>
      <w:r w:rsidRPr="00266C3F">
        <w:rPr>
          <w:rFonts w:eastAsia="Times New Roman" w:cs="Times New Roman"/>
          <w:bCs/>
          <w:color w:val="000000"/>
          <w:shd w:val="clear" w:color="auto" w:fill="FFFFFF"/>
        </w:rPr>
        <w:t xml:space="preserve">verage visit duration </w:t>
      </w:r>
      <w:r>
        <w:rPr>
          <w:rFonts w:eastAsia="Times New Roman" w:cs="Times New Roman"/>
          <w:bCs/>
          <w:color w:val="000000"/>
          <w:shd w:val="clear" w:color="auto" w:fill="FFFFFF"/>
        </w:rPr>
        <w:t>was three</w:t>
      </w:r>
      <w:r w:rsidRPr="00266C3F">
        <w:rPr>
          <w:rFonts w:eastAsia="Times New Roman" w:cs="Times New Roman"/>
          <w:bCs/>
          <w:color w:val="000000"/>
          <w:shd w:val="clear" w:color="auto" w:fill="FFFFFF"/>
        </w:rPr>
        <w:t xml:space="preserve"> minutes</w:t>
      </w:r>
      <w:r>
        <w:rPr>
          <w:rFonts w:eastAsia="Times New Roman" w:cs="Times New Roman"/>
          <w:bCs/>
          <w:color w:val="000000"/>
          <w:shd w:val="clear" w:color="auto" w:fill="FFFFFF"/>
        </w:rPr>
        <w:t xml:space="preserve"> (4m20s for the Index).</w:t>
      </w:r>
    </w:p>
    <w:p w14:paraId="12EFB3AC" w14:textId="77777777" w:rsidR="00B873F6" w:rsidRDefault="00B873F6" w:rsidP="00B873F6">
      <w:pPr>
        <w:jc w:val="both"/>
        <w:rPr>
          <w:bCs/>
        </w:rPr>
      </w:pPr>
    </w:p>
    <w:p w14:paraId="10CC8C21" w14:textId="77777777" w:rsidR="00625712" w:rsidRDefault="00625712" w:rsidP="00B873F6">
      <w:pPr>
        <w:jc w:val="both"/>
        <w:rPr>
          <w:bCs/>
        </w:rPr>
      </w:pPr>
    </w:p>
    <w:p w14:paraId="12287BC6" w14:textId="77777777" w:rsidR="003A011C" w:rsidRDefault="003A011C" w:rsidP="003A011C">
      <w:pPr>
        <w:keepNext/>
        <w:jc w:val="both"/>
      </w:pPr>
      <w:r>
        <w:rPr>
          <w:bCs/>
          <w:noProof/>
        </w:rPr>
        <w:drawing>
          <wp:inline distT="0" distB="0" distL="0" distR="0" wp14:anchorId="6B7CB48E" wp14:editId="2A27A51F">
            <wp:extent cx="5478145" cy="2776855"/>
            <wp:effectExtent l="0" t="0" r="8255" b="0"/>
            <wp:docPr id="6" name="Picture 6" descr="Macintosh HD:Users:brunosan:Desktop:Screen Shot 2012-08-27 at 5.2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brunosan:Desktop:Screen Shot 2012-08-27 at 5.28.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2776855"/>
                    </a:xfrm>
                    <a:prstGeom prst="rect">
                      <a:avLst/>
                    </a:prstGeom>
                    <a:noFill/>
                    <a:ln>
                      <a:noFill/>
                    </a:ln>
                  </pic:spPr>
                </pic:pic>
              </a:graphicData>
            </a:graphic>
          </wp:inline>
        </w:drawing>
      </w:r>
    </w:p>
    <w:p w14:paraId="36210DBB" w14:textId="77777777" w:rsidR="00625712" w:rsidRDefault="003A011C" w:rsidP="003A011C">
      <w:pPr>
        <w:pStyle w:val="Caption"/>
        <w:jc w:val="both"/>
        <w:rPr>
          <w:bCs w:val="0"/>
        </w:rPr>
      </w:pPr>
      <w:r>
        <w:t xml:space="preserve">Figure </w:t>
      </w:r>
      <w:fldSimple w:instr=" SEQ Figure \* ARABIC ">
        <w:r w:rsidR="00D54D36">
          <w:rPr>
            <w:noProof/>
          </w:rPr>
          <w:t>1</w:t>
        </w:r>
      </w:fldSimple>
      <w:r>
        <w:t xml:space="preserve">. Visitor flow. From left to right, the first column is the breakdown by entry type: referral (link from another website), direct (typing the sites URL), ‘organic’ (from </w:t>
      </w:r>
      <w:r w:rsidRPr="009128E7">
        <w:t>listings on </w:t>
      </w:r>
      <w:r w:rsidRPr="00B95B24">
        <w:t>search engine</w:t>
      </w:r>
      <w:r w:rsidRPr="009128E7">
        <w:t> results pages</w:t>
      </w:r>
      <w:r>
        <w:t xml:space="preserve"> like Google) or from social networks, the following breaks down the pages visited. Lines between columns show the thread of usage. Red lines represent the end of the visit. The highlighted connecting path shows those users who visited any Blog post as their landing page into our site (Breakdown of which one is shown on the Figure 2. Numbers below each green block correspond to visits towards this highlighted path, versus total views.</w:t>
      </w:r>
    </w:p>
    <w:p w14:paraId="2D189E9E" w14:textId="77777777" w:rsidR="00625712" w:rsidRDefault="00625712" w:rsidP="00B873F6">
      <w:pPr>
        <w:jc w:val="both"/>
        <w:rPr>
          <w:bCs/>
        </w:rPr>
      </w:pPr>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10"/>
        <w:gridCol w:w="923"/>
        <w:gridCol w:w="1567"/>
      </w:tblGrid>
      <w:tr w:rsidR="003A011C" w:rsidRPr="00625712" w14:paraId="67A25120" w14:textId="77777777" w:rsidTr="003A011C">
        <w:trPr>
          <w:tblCellSpacing w:w="15" w:type="dxa"/>
        </w:trPr>
        <w:tc>
          <w:tcPr>
            <w:tcW w:w="3592" w:type="pct"/>
            <w:shd w:val="clear" w:color="auto" w:fill="FFFFFF"/>
            <w:tcMar>
              <w:top w:w="75" w:type="dxa"/>
              <w:left w:w="150" w:type="dxa"/>
              <w:bottom w:w="75" w:type="dxa"/>
              <w:right w:w="150" w:type="dxa"/>
            </w:tcMar>
            <w:vAlign w:val="center"/>
            <w:hideMark/>
          </w:tcPr>
          <w:p w14:paraId="2489EB84" w14:textId="77777777" w:rsidR="003A011C" w:rsidRPr="00625712" w:rsidRDefault="003A011C" w:rsidP="00625712">
            <w:pPr>
              <w:rPr>
                <w:rFonts w:ascii="Arial" w:eastAsia="Times New Roman" w:hAnsi="Arial" w:cs="Times New Roman"/>
                <w:b/>
                <w:bCs/>
                <w:color w:val="333333"/>
                <w:sz w:val="20"/>
                <w:szCs w:val="20"/>
              </w:rPr>
            </w:pPr>
            <w:r>
              <w:rPr>
                <w:rFonts w:ascii="Arial" w:eastAsia="Times New Roman" w:hAnsi="Arial" w:cs="Times New Roman"/>
                <w:b/>
                <w:bCs/>
                <w:color w:val="333333"/>
                <w:sz w:val="20"/>
                <w:szCs w:val="20"/>
              </w:rPr>
              <w:t>“/post” breakdown</w:t>
            </w:r>
          </w:p>
        </w:tc>
        <w:tc>
          <w:tcPr>
            <w:tcW w:w="496" w:type="pct"/>
            <w:shd w:val="clear" w:color="auto" w:fill="FFFFFF"/>
            <w:tcMar>
              <w:top w:w="75" w:type="dxa"/>
              <w:left w:w="150" w:type="dxa"/>
              <w:bottom w:w="75" w:type="dxa"/>
              <w:right w:w="150" w:type="dxa"/>
            </w:tcMar>
            <w:vAlign w:val="center"/>
            <w:hideMark/>
          </w:tcPr>
          <w:p w14:paraId="5A1CF1CE" w14:textId="77777777" w:rsidR="003A011C" w:rsidRPr="00625712" w:rsidRDefault="003A011C" w:rsidP="00625712">
            <w:pPr>
              <w:rPr>
                <w:rFonts w:ascii="Arial" w:eastAsia="Times New Roman" w:hAnsi="Arial" w:cs="Times New Roman"/>
                <w:b/>
                <w:bCs/>
                <w:color w:val="333333"/>
                <w:sz w:val="20"/>
                <w:szCs w:val="20"/>
              </w:rPr>
            </w:pPr>
            <w:r w:rsidRPr="00625712">
              <w:rPr>
                <w:rFonts w:ascii="Arial" w:eastAsia="Times New Roman" w:hAnsi="Arial" w:cs="Times New Roman"/>
                <w:b/>
                <w:bCs/>
                <w:color w:val="333333"/>
                <w:sz w:val="20"/>
                <w:szCs w:val="20"/>
              </w:rPr>
              <w:t>Visits</w:t>
            </w:r>
          </w:p>
        </w:tc>
        <w:tc>
          <w:tcPr>
            <w:tcW w:w="846" w:type="pct"/>
            <w:shd w:val="clear" w:color="auto" w:fill="FFFFFF"/>
            <w:tcMar>
              <w:top w:w="75" w:type="dxa"/>
              <w:left w:w="150" w:type="dxa"/>
              <w:bottom w:w="75" w:type="dxa"/>
              <w:right w:w="150" w:type="dxa"/>
            </w:tcMar>
            <w:vAlign w:val="center"/>
            <w:hideMark/>
          </w:tcPr>
          <w:p w14:paraId="23755749" w14:textId="77777777" w:rsidR="003A011C" w:rsidRPr="00625712" w:rsidRDefault="003A011C" w:rsidP="00625712">
            <w:pPr>
              <w:rPr>
                <w:rFonts w:ascii="Arial" w:eastAsia="Times New Roman" w:hAnsi="Arial" w:cs="Times New Roman"/>
                <w:b/>
                <w:bCs/>
                <w:color w:val="333333"/>
                <w:sz w:val="20"/>
                <w:szCs w:val="20"/>
              </w:rPr>
            </w:pPr>
            <w:r w:rsidRPr="00625712">
              <w:rPr>
                <w:rFonts w:ascii="Arial" w:eastAsia="Times New Roman" w:hAnsi="Arial" w:cs="Times New Roman"/>
                <w:b/>
                <w:bCs/>
                <w:color w:val="333333"/>
                <w:sz w:val="20"/>
                <w:szCs w:val="20"/>
              </w:rPr>
              <w:t>Drop-off rate</w:t>
            </w:r>
          </w:p>
        </w:tc>
      </w:tr>
      <w:tr w:rsidR="003A011C" w:rsidRPr="00625712" w14:paraId="0E8DED2F" w14:textId="77777777" w:rsidTr="003A011C">
        <w:trPr>
          <w:tblCellSpacing w:w="15" w:type="dxa"/>
        </w:trPr>
        <w:tc>
          <w:tcPr>
            <w:tcW w:w="3592" w:type="pct"/>
            <w:shd w:val="clear" w:color="auto" w:fill="EFEFEF"/>
            <w:tcMar>
              <w:top w:w="75" w:type="dxa"/>
              <w:left w:w="150" w:type="dxa"/>
              <w:bottom w:w="75" w:type="dxa"/>
              <w:right w:w="150" w:type="dxa"/>
            </w:tcMar>
            <w:vAlign w:val="center"/>
            <w:hideMark/>
          </w:tcPr>
          <w:p w14:paraId="590F2F03" w14:textId="77777777" w:rsidR="003A011C" w:rsidRPr="00625712" w:rsidRDefault="003A011C" w:rsidP="00625712">
            <w:pPr>
              <w:rPr>
                <w:rFonts w:ascii="Arial" w:eastAsia="Times New Roman" w:hAnsi="Arial" w:cs="Times New Roman"/>
                <w:color w:val="005C9C"/>
                <w:sz w:val="20"/>
                <w:szCs w:val="20"/>
              </w:rPr>
            </w:pPr>
            <w:r w:rsidRPr="00625712">
              <w:rPr>
                <w:rFonts w:ascii="Arial" w:eastAsia="Times New Roman" w:hAnsi="Arial" w:cs="Times New Roman"/>
                <w:color w:val="005C9C"/>
                <w:sz w:val="20"/>
                <w:szCs w:val="20"/>
              </w:rPr>
              <w:t>/post/23110381344/climate-adaptation-in-mountain-basins-in-the-andean </w:t>
            </w:r>
          </w:p>
        </w:tc>
        <w:tc>
          <w:tcPr>
            <w:tcW w:w="496" w:type="pct"/>
            <w:shd w:val="clear" w:color="auto" w:fill="EFEFEF"/>
            <w:tcMar>
              <w:top w:w="75" w:type="dxa"/>
              <w:left w:w="150" w:type="dxa"/>
              <w:bottom w:w="75" w:type="dxa"/>
              <w:right w:w="150" w:type="dxa"/>
            </w:tcMar>
            <w:vAlign w:val="center"/>
            <w:hideMark/>
          </w:tcPr>
          <w:p w14:paraId="368B5FA1"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73</w:t>
            </w:r>
          </w:p>
        </w:tc>
        <w:tc>
          <w:tcPr>
            <w:tcW w:w="846" w:type="pct"/>
            <w:shd w:val="clear" w:color="auto" w:fill="EFEFEF"/>
            <w:tcMar>
              <w:top w:w="75" w:type="dxa"/>
              <w:left w:w="150" w:type="dxa"/>
              <w:bottom w:w="75" w:type="dxa"/>
              <w:right w:w="150" w:type="dxa"/>
            </w:tcMar>
            <w:vAlign w:val="center"/>
            <w:hideMark/>
          </w:tcPr>
          <w:p w14:paraId="1BE07FA7"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91.8%</w:t>
            </w:r>
          </w:p>
        </w:tc>
      </w:tr>
      <w:tr w:rsidR="003A011C" w:rsidRPr="00625712" w14:paraId="4FB6A5BD" w14:textId="77777777" w:rsidTr="003A011C">
        <w:trPr>
          <w:tblCellSpacing w:w="15" w:type="dxa"/>
        </w:trPr>
        <w:tc>
          <w:tcPr>
            <w:tcW w:w="3592" w:type="pct"/>
            <w:shd w:val="clear" w:color="auto" w:fill="FFFFFF"/>
            <w:tcMar>
              <w:top w:w="75" w:type="dxa"/>
              <w:left w:w="150" w:type="dxa"/>
              <w:bottom w:w="75" w:type="dxa"/>
              <w:right w:w="150" w:type="dxa"/>
            </w:tcMar>
            <w:vAlign w:val="center"/>
            <w:hideMark/>
          </w:tcPr>
          <w:p w14:paraId="75D0CA6F" w14:textId="77777777" w:rsidR="003A011C" w:rsidRPr="00625712" w:rsidRDefault="003A011C" w:rsidP="00625712">
            <w:pPr>
              <w:rPr>
                <w:rFonts w:ascii="Arial" w:eastAsia="Times New Roman" w:hAnsi="Arial" w:cs="Times New Roman"/>
                <w:color w:val="005C9C"/>
                <w:sz w:val="20"/>
                <w:szCs w:val="20"/>
              </w:rPr>
            </w:pPr>
            <w:r w:rsidRPr="00625712">
              <w:rPr>
                <w:rFonts w:ascii="Arial" w:eastAsia="Times New Roman" w:hAnsi="Arial" w:cs="Times New Roman"/>
                <w:color w:val="005C9C"/>
                <w:sz w:val="20"/>
                <w:szCs w:val="20"/>
              </w:rPr>
              <w:t>/post/23185939346/gain-prize-winners-discuss-new-alliance </w:t>
            </w:r>
          </w:p>
        </w:tc>
        <w:tc>
          <w:tcPr>
            <w:tcW w:w="496" w:type="pct"/>
            <w:shd w:val="clear" w:color="auto" w:fill="FFFFFF"/>
            <w:tcMar>
              <w:top w:w="75" w:type="dxa"/>
              <w:left w:w="150" w:type="dxa"/>
              <w:bottom w:w="75" w:type="dxa"/>
              <w:right w:w="150" w:type="dxa"/>
            </w:tcMar>
            <w:vAlign w:val="center"/>
            <w:hideMark/>
          </w:tcPr>
          <w:p w14:paraId="65F30486"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67</w:t>
            </w:r>
          </w:p>
        </w:tc>
        <w:tc>
          <w:tcPr>
            <w:tcW w:w="846" w:type="pct"/>
            <w:shd w:val="clear" w:color="auto" w:fill="FFFFFF"/>
            <w:tcMar>
              <w:top w:w="75" w:type="dxa"/>
              <w:left w:w="150" w:type="dxa"/>
              <w:bottom w:w="75" w:type="dxa"/>
              <w:right w:w="150" w:type="dxa"/>
            </w:tcMar>
            <w:vAlign w:val="center"/>
            <w:hideMark/>
          </w:tcPr>
          <w:p w14:paraId="370180CA"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80.6%</w:t>
            </w:r>
          </w:p>
        </w:tc>
      </w:tr>
      <w:tr w:rsidR="003A011C" w:rsidRPr="00625712" w14:paraId="4AC56C56" w14:textId="77777777" w:rsidTr="003A011C">
        <w:trPr>
          <w:tblCellSpacing w:w="15" w:type="dxa"/>
        </w:trPr>
        <w:tc>
          <w:tcPr>
            <w:tcW w:w="3592" w:type="pct"/>
            <w:shd w:val="clear" w:color="auto" w:fill="EFEFEF"/>
            <w:tcMar>
              <w:top w:w="75" w:type="dxa"/>
              <w:left w:w="150" w:type="dxa"/>
              <w:bottom w:w="75" w:type="dxa"/>
              <w:right w:w="150" w:type="dxa"/>
            </w:tcMar>
            <w:vAlign w:val="center"/>
            <w:hideMark/>
          </w:tcPr>
          <w:p w14:paraId="2D013421" w14:textId="77777777" w:rsidR="003A011C" w:rsidRPr="00625712" w:rsidRDefault="003A011C" w:rsidP="00625712">
            <w:pPr>
              <w:rPr>
                <w:rFonts w:ascii="Arial" w:eastAsia="Times New Roman" w:hAnsi="Arial" w:cs="Times New Roman"/>
                <w:color w:val="005C9C"/>
                <w:sz w:val="20"/>
                <w:szCs w:val="20"/>
              </w:rPr>
            </w:pPr>
            <w:r w:rsidRPr="00625712">
              <w:rPr>
                <w:rFonts w:ascii="Arial" w:eastAsia="Times New Roman" w:hAnsi="Arial" w:cs="Times New Roman"/>
                <w:color w:val="005C9C"/>
                <w:sz w:val="20"/>
                <w:szCs w:val="20"/>
              </w:rPr>
              <w:t>/post/27422616954/overcoming-inertia-advancing-corporate-leadership-in </w:t>
            </w:r>
          </w:p>
        </w:tc>
        <w:tc>
          <w:tcPr>
            <w:tcW w:w="496" w:type="pct"/>
            <w:shd w:val="clear" w:color="auto" w:fill="EFEFEF"/>
            <w:tcMar>
              <w:top w:w="75" w:type="dxa"/>
              <w:left w:w="150" w:type="dxa"/>
              <w:bottom w:w="75" w:type="dxa"/>
              <w:right w:w="150" w:type="dxa"/>
            </w:tcMar>
            <w:vAlign w:val="center"/>
            <w:hideMark/>
          </w:tcPr>
          <w:p w14:paraId="2239A21E"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60</w:t>
            </w:r>
          </w:p>
        </w:tc>
        <w:tc>
          <w:tcPr>
            <w:tcW w:w="846" w:type="pct"/>
            <w:shd w:val="clear" w:color="auto" w:fill="EFEFEF"/>
            <w:tcMar>
              <w:top w:w="75" w:type="dxa"/>
              <w:left w:w="150" w:type="dxa"/>
              <w:bottom w:w="75" w:type="dxa"/>
              <w:right w:w="150" w:type="dxa"/>
            </w:tcMar>
            <w:vAlign w:val="center"/>
            <w:hideMark/>
          </w:tcPr>
          <w:p w14:paraId="180D215B"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88.3%</w:t>
            </w:r>
          </w:p>
        </w:tc>
      </w:tr>
      <w:tr w:rsidR="003A011C" w:rsidRPr="00625712" w14:paraId="2FA017AF" w14:textId="77777777" w:rsidTr="003A011C">
        <w:trPr>
          <w:tblCellSpacing w:w="15" w:type="dxa"/>
        </w:trPr>
        <w:tc>
          <w:tcPr>
            <w:tcW w:w="3592" w:type="pct"/>
            <w:shd w:val="clear" w:color="auto" w:fill="FFFFFF"/>
            <w:tcMar>
              <w:top w:w="75" w:type="dxa"/>
              <w:left w:w="150" w:type="dxa"/>
              <w:bottom w:w="75" w:type="dxa"/>
              <w:right w:w="150" w:type="dxa"/>
            </w:tcMar>
            <w:vAlign w:val="center"/>
            <w:hideMark/>
          </w:tcPr>
          <w:p w14:paraId="12D9F5A3" w14:textId="77777777" w:rsidR="003A011C" w:rsidRPr="00625712" w:rsidRDefault="003A011C" w:rsidP="00625712">
            <w:pPr>
              <w:rPr>
                <w:rFonts w:ascii="Arial" w:eastAsia="Times New Roman" w:hAnsi="Arial" w:cs="Times New Roman"/>
                <w:color w:val="005C9C"/>
                <w:sz w:val="20"/>
                <w:szCs w:val="20"/>
              </w:rPr>
            </w:pPr>
            <w:r w:rsidRPr="00625712">
              <w:rPr>
                <w:rFonts w:ascii="Arial" w:eastAsia="Times New Roman" w:hAnsi="Arial" w:cs="Times New Roman"/>
                <w:color w:val="005C9C"/>
                <w:sz w:val="20"/>
                <w:szCs w:val="20"/>
              </w:rPr>
              <w:lastRenderedPageBreak/>
              <w:t>/post/13543917035/durban-is-someone-missing-from-the-negotiation-table </w:t>
            </w:r>
            <w:r w:rsidRPr="00625712">
              <w:rPr>
                <w:rFonts w:ascii="Arial" w:eastAsia="Times New Roman" w:hAnsi="Arial" w:cs="Times New Roman"/>
                <w:color w:val="005C9C"/>
                <w:sz w:val="20"/>
                <w:szCs w:val="20"/>
              </w:rPr>
              <w:fldChar w:fldCharType="begin"/>
            </w:r>
            <w:r w:rsidRPr="00625712">
              <w:rPr>
                <w:rFonts w:ascii="Arial" w:eastAsia="Times New Roman" w:hAnsi="Arial" w:cs="Times New Roman"/>
                <w:color w:val="005C9C"/>
                <w:sz w:val="20"/>
                <w:szCs w:val="20"/>
              </w:rPr>
              <w:instrText xml:space="preserve"> HYPERLINK "http://www.globalai.org/post/13543917035/durban-is-someone-missing-from-the-negotiation-table" \t "GA_LINKER" </w:instrText>
            </w:r>
            <w:r w:rsidRPr="00625712">
              <w:rPr>
                <w:rFonts w:ascii="Arial" w:eastAsia="Times New Roman" w:hAnsi="Arial" w:cs="Times New Roman"/>
                <w:color w:val="005C9C"/>
                <w:sz w:val="20"/>
                <w:szCs w:val="20"/>
              </w:rPr>
            </w:r>
            <w:r w:rsidRPr="00625712">
              <w:rPr>
                <w:rFonts w:ascii="Arial" w:eastAsia="Times New Roman" w:hAnsi="Arial" w:cs="Times New Roman"/>
                <w:color w:val="005C9C"/>
                <w:sz w:val="20"/>
                <w:szCs w:val="20"/>
              </w:rPr>
              <w:fldChar w:fldCharType="separate"/>
            </w:r>
            <w:r>
              <w:rPr>
                <w:rFonts w:ascii="Arial" w:eastAsia="Times New Roman" w:hAnsi="Arial" w:cs="Times New Roman"/>
                <w:noProof/>
                <w:color w:val="005C9C"/>
                <w:sz w:val="20"/>
                <w:szCs w:val="20"/>
              </w:rPr>
              <w:drawing>
                <wp:inline distT="0" distB="0" distL="0" distR="0" wp14:anchorId="4DF661B7" wp14:editId="000F7FF4">
                  <wp:extent cx="17145" cy="17145"/>
                  <wp:effectExtent l="0" t="0" r="0" b="0"/>
                  <wp:docPr id="4" name="Picture 4" descr="iew this link">
                    <a:hlinkClick xmlns:a="http://schemas.openxmlformats.org/drawingml/2006/main" r:id="rId9" tgtFrame="&quot;GA_LIN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this link">
                            <a:hlinkClick r:id="rId9" tgtFrame="&quot;GA_LIN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25712">
              <w:rPr>
                <w:rFonts w:ascii="Arial" w:eastAsia="Times New Roman" w:hAnsi="Arial" w:cs="Times New Roman"/>
                <w:color w:val="005C9C"/>
                <w:sz w:val="20"/>
                <w:szCs w:val="20"/>
              </w:rPr>
              <w:fldChar w:fldCharType="end"/>
            </w:r>
          </w:p>
        </w:tc>
        <w:tc>
          <w:tcPr>
            <w:tcW w:w="496" w:type="pct"/>
            <w:shd w:val="clear" w:color="auto" w:fill="FFFFFF"/>
            <w:tcMar>
              <w:top w:w="75" w:type="dxa"/>
              <w:left w:w="150" w:type="dxa"/>
              <w:bottom w:w="75" w:type="dxa"/>
              <w:right w:w="150" w:type="dxa"/>
            </w:tcMar>
            <w:vAlign w:val="center"/>
            <w:hideMark/>
          </w:tcPr>
          <w:p w14:paraId="4EB13240"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46</w:t>
            </w:r>
          </w:p>
        </w:tc>
        <w:tc>
          <w:tcPr>
            <w:tcW w:w="846" w:type="pct"/>
            <w:shd w:val="clear" w:color="auto" w:fill="FFFFFF"/>
            <w:tcMar>
              <w:top w:w="75" w:type="dxa"/>
              <w:left w:w="150" w:type="dxa"/>
              <w:bottom w:w="75" w:type="dxa"/>
              <w:right w:w="150" w:type="dxa"/>
            </w:tcMar>
            <w:vAlign w:val="center"/>
            <w:hideMark/>
          </w:tcPr>
          <w:p w14:paraId="7EE19863"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87.0%</w:t>
            </w:r>
          </w:p>
        </w:tc>
      </w:tr>
      <w:tr w:rsidR="003A011C" w:rsidRPr="00625712" w14:paraId="03279DAC" w14:textId="77777777" w:rsidTr="003A011C">
        <w:trPr>
          <w:tblCellSpacing w:w="15" w:type="dxa"/>
        </w:trPr>
        <w:tc>
          <w:tcPr>
            <w:tcW w:w="3592" w:type="pct"/>
            <w:shd w:val="clear" w:color="auto" w:fill="EFEFEF"/>
            <w:tcMar>
              <w:top w:w="75" w:type="dxa"/>
              <w:left w:w="150" w:type="dxa"/>
              <w:bottom w:w="75" w:type="dxa"/>
              <w:right w:w="150" w:type="dxa"/>
            </w:tcMar>
            <w:vAlign w:val="center"/>
            <w:hideMark/>
          </w:tcPr>
          <w:p w14:paraId="2BB96905" w14:textId="77777777" w:rsidR="003A011C" w:rsidRPr="00625712" w:rsidRDefault="003A011C" w:rsidP="00625712">
            <w:pPr>
              <w:rPr>
                <w:rFonts w:ascii="Arial" w:eastAsia="Times New Roman" w:hAnsi="Arial" w:cs="Times New Roman"/>
                <w:color w:val="005C9C"/>
                <w:sz w:val="20"/>
                <w:szCs w:val="20"/>
              </w:rPr>
            </w:pPr>
            <w:r w:rsidRPr="00625712">
              <w:rPr>
                <w:rFonts w:ascii="Arial" w:eastAsia="Times New Roman" w:hAnsi="Arial" w:cs="Times New Roman"/>
                <w:color w:val="005C9C"/>
                <w:sz w:val="20"/>
                <w:szCs w:val="20"/>
              </w:rPr>
              <w:t>/post/16422641902/interview-the-emerging-business-and-regulatory </w:t>
            </w:r>
          </w:p>
        </w:tc>
        <w:tc>
          <w:tcPr>
            <w:tcW w:w="496" w:type="pct"/>
            <w:shd w:val="clear" w:color="auto" w:fill="EFEFEF"/>
            <w:tcMar>
              <w:top w:w="75" w:type="dxa"/>
              <w:left w:w="150" w:type="dxa"/>
              <w:bottom w:w="75" w:type="dxa"/>
              <w:right w:w="150" w:type="dxa"/>
            </w:tcMar>
            <w:vAlign w:val="center"/>
            <w:hideMark/>
          </w:tcPr>
          <w:p w14:paraId="02FEB37F" w14:textId="77777777" w:rsidR="003A011C" w:rsidRPr="00625712" w:rsidRDefault="003A011C" w:rsidP="00625712">
            <w:pPr>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39</w:t>
            </w:r>
          </w:p>
        </w:tc>
        <w:tc>
          <w:tcPr>
            <w:tcW w:w="846" w:type="pct"/>
            <w:shd w:val="clear" w:color="auto" w:fill="EFEFEF"/>
            <w:tcMar>
              <w:top w:w="75" w:type="dxa"/>
              <w:left w:w="150" w:type="dxa"/>
              <w:bottom w:w="75" w:type="dxa"/>
              <w:right w:w="150" w:type="dxa"/>
            </w:tcMar>
            <w:vAlign w:val="center"/>
            <w:hideMark/>
          </w:tcPr>
          <w:p w14:paraId="0038B7FA" w14:textId="77777777" w:rsidR="003A011C" w:rsidRDefault="003A011C" w:rsidP="003A011C">
            <w:pPr>
              <w:keepNext/>
              <w:rPr>
                <w:rFonts w:ascii="Arial" w:eastAsia="Times New Roman" w:hAnsi="Arial" w:cs="Times New Roman"/>
                <w:color w:val="000000"/>
                <w:sz w:val="20"/>
                <w:szCs w:val="20"/>
              </w:rPr>
            </w:pPr>
            <w:r w:rsidRPr="00625712">
              <w:rPr>
                <w:rFonts w:ascii="Arial" w:eastAsia="Times New Roman" w:hAnsi="Arial" w:cs="Times New Roman"/>
                <w:color w:val="000000"/>
                <w:sz w:val="20"/>
                <w:szCs w:val="20"/>
              </w:rPr>
              <w:t>100%</w:t>
            </w:r>
          </w:p>
          <w:p w14:paraId="1AF6A514" w14:textId="77777777" w:rsidR="003A011C" w:rsidRPr="00625712" w:rsidRDefault="003A011C" w:rsidP="003A011C">
            <w:pPr>
              <w:keepNext/>
              <w:rPr>
                <w:rFonts w:ascii="Arial" w:eastAsia="Times New Roman" w:hAnsi="Arial" w:cs="Times New Roman"/>
                <w:color w:val="000000"/>
                <w:sz w:val="20"/>
                <w:szCs w:val="20"/>
              </w:rPr>
            </w:pPr>
          </w:p>
        </w:tc>
      </w:tr>
    </w:tbl>
    <w:p w14:paraId="21D8758D" w14:textId="77777777" w:rsidR="00625712" w:rsidRPr="00B873F6" w:rsidRDefault="003A011C" w:rsidP="003A011C">
      <w:pPr>
        <w:pStyle w:val="Caption"/>
        <w:rPr>
          <w:bCs w:val="0"/>
        </w:rPr>
      </w:pPr>
      <w:r>
        <w:t xml:space="preserve">Figure </w:t>
      </w:r>
      <w:fldSimple w:instr=" SEQ Figure \* ARABIC ">
        <w:r w:rsidR="00D54D36">
          <w:rPr>
            <w:noProof/>
          </w:rPr>
          <w:t>2</w:t>
        </w:r>
      </w:fldSimple>
      <w:r>
        <w:t>. Breakdown of  the top Blog post that is accessed as an entry point to our website, as reflected in Figure 1. Drop off rate means user that left our site without exploring it further.</w:t>
      </w:r>
    </w:p>
    <w:p w14:paraId="08226032" w14:textId="77777777" w:rsidR="00B873F6" w:rsidRDefault="00B873F6" w:rsidP="00B873F6"/>
    <w:p w14:paraId="29D10A99" w14:textId="77777777" w:rsidR="00276A09" w:rsidRDefault="003A011C" w:rsidP="00276A09">
      <w:r>
        <w:t>68% of our visits starts with the front page, most either direct or organic (not referral). Of these 61% drop out (could be to the Index site</w:t>
      </w:r>
      <w:r w:rsidR="00276A09">
        <w:rPr>
          <w:rStyle w:val="FootnoteReference"/>
        </w:rPr>
        <w:footnoteReference w:id="1"/>
      </w:r>
      <w:r>
        <w:t>). The rest most likely go to the Team page, or the Blog post, or the Work Page.</w:t>
      </w:r>
    </w:p>
    <w:p w14:paraId="53905E68" w14:textId="77777777" w:rsidR="00276A09" w:rsidRDefault="00276A09" w:rsidP="00276A09"/>
    <w:p w14:paraId="648298EA" w14:textId="77777777" w:rsidR="00276A09" w:rsidRDefault="00276A09" w:rsidP="00276A09"/>
    <w:p w14:paraId="013140BF" w14:textId="77777777" w:rsidR="00276A09" w:rsidRDefault="00276A09" w:rsidP="00276A09">
      <w:pPr>
        <w:keepNext/>
      </w:pPr>
      <w:r>
        <w:rPr>
          <w:noProof/>
        </w:rPr>
        <w:drawing>
          <wp:inline distT="0" distB="0" distL="0" distR="0" wp14:anchorId="6DAC5847" wp14:editId="07C3952F">
            <wp:extent cx="5478145" cy="1473200"/>
            <wp:effectExtent l="0" t="0" r="8255" b="0"/>
            <wp:docPr id="9" name="Picture 9" descr="Macintosh HD:Users:brunosan:Desktop:Screen Shot 2012-08-27 at 5.4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brunosan:Desktop:Screen Shot 2012-08-27 at 5.46.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598D9CE7" w14:textId="77777777" w:rsidR="00276A09" w:rsidRDefault="00276A09" w:rsidP="00276A09">
      <w:pPr>
        <w:pStyle w:val="Caption"/>
        <w:spacing w:before="2" w:after="2"/>
        <w:jc w:val="both"/>
        <w:rPr>
          <w:rFonts w:eastAsia="Times New Roman" w:cs="Times New Roman"/>
          <w:bCs w:val="0"/>
          <w:color w:val="000000"/>
          <w:shd w:val="clear" w:color="auto" w:fill="FFFFFF"/>
        </w:rPr>
      </w:pPr>
      <w:r>
        <w:t xml:space="preserve">Figure </w:t>
      </w:r>
      <w:fldSimple w:instr=" SEQ Figure \* ARABIC ">
        <w:r w:rsidR="00D54D36">
          <w:rPr>
            <w:noProof/>
          </w:rPr>
          <w:t>3</w:t>
        </w:r>
      </w:fldSimple>
      <w:r>
        <w:t>.</w:t>
      </w:r>
      <w:r w:rsidRPr="00276A09">
        <w:t xml:space="preserve"> </w:t>
      </w:r>
      <w:r>
        <w:t>Timeline of page views per week from October 2011 to July 2012 in dark blue, and light blue for the percentage of new visitors.</w:t>
      </w:r>
    </w:p>
    <w:p w14:paraId="28C928A1" w14:textId="77777777" w:rsidR="003A011C" w:rsidRDefault="003A011C" w:rsidP="00276A09">
      <w:pPr>
        <w:pStyle w:val="Caption"/>
      </w:pPr>
    </w:p>
    <w:p w14:paraId="48287E35" w14:textId="77777777" w:rsidR="003B6FD0" w:rsidRDefault="00276A09" w:rsidP="003B6FD0">
      <w:r>
        <w:t xml:space="preserve">Our average pageviews per week is around 1000 per week, which is </w:t>
      </w:r>
      <w:r w:rsidR="003B6FD0">
        <w:t>similar</w:t>
      </w:r>
      <w:r>
        <w:t xml:space="preserve"> of the Index site.</w:t>
      </w:r>
      <w:r w:rsidR="003B6FD0">
        <w:t xml:space="preserve"> Compared to the Index we have a slightly bigger share of New visits. Since we have less visits, this means we have less “visitor engagement” than the Index. This is related to the observation that the main site seems to lack the bumps of attention, which means would explain this behavior. Interesting.</w:t>
      </w:r>
    </w:p>
    <w:p w14:paraId="547E894D" w14:textId="77777777" w:rsidR="003B6FD0" w:rsidRDefault="003B6FD0" w:rsidP="003B6FD0"/>
    <w:p w14:paraId="156624D8" w14:textId="77777777" w:rsidR="003B6FD0" w:rsidRDefault="003B6FD0" w:rsidP="003B6FD0">
      <w:r>
        <w:t>The quick hypothesis here is that the Index site itself is sometimes picked up by news or blog posts, which create the peaks in visits (more pageviews and visits), but our background levels are similar. The audience are roughly  similar so far, but they seem to like more the Index site than navigate into the Main site.</w:t>
      </w:r>
    </w:p>
    <w:p w14:paraId="0AA02C18" w14:textId="77777777" w:rsidR="00276A09" w:rsidRDefault="00276A09" w:rsidP="00276A09">
      <w:pPr>
        <w:rPr>
          <w:noProof/>
        </w:rPr>
      </w:pPr>
    </w:p>
    <w:p w14:paraId="3DC83BFB" w14:textId="77777777" w:rsidR="00281C29" w:rsidRDefault="00281C29" w:rsidP="00281C29">
      <w:pPr>
        <w:keepNext/>
      </w:pPr>
      <w:r>
        <w:rPr>
          <w:noProof/>
        </w:rPr>
        <w:drawing>
          <wp:inline distT="0" distB="0" distL="0" distR="0" wp14:anchorId="753ED0DC" wp14:editId="05DF8F3F">
            <wp:extent cx="5486400" cy="3506470"/>
            <wp:effectExtent l="0" t="0" r="254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B1ECEA" w14:textId="77777777" w:rsidR="00281C29" w:rsidRPr="00281C29" w:rsidRDefault="00281C29" w:rsidP="00281C29">
      <w:pPr>
        <w:pStyle w:val="Caption"/>
        <w:tabs>
          <w:tab w:val="left" w:pos="1213"/>
        </w:tabs>
      </w:pPr>
      <w:r>
        <w:t xml:space="preserve">Figure </w:t>
      </w:r>
      <w:fldSimple w:instr=" SEQ Figure \* ARABIC ">
        <w:r w:rsidR="00D54D36">
          <w:rPr>
            <w:noProof/>
          </w:rPr>
          <w:t>4</w:t>
        </w:r>
      </w:fldSimple>
      <w:r>
        <w:t>.  Breakdown of top page views on gain.org from Sept 2011 to July 2012. “/” refers to the main page. “Old” refers to the previous website we had before using Development Seed version.</w:t>
      </w:r>
    </w:p>
    <w:p w14:paraId="55DAB9F4" w14:textId="77777777" w:rsidR="00281C29" w:rsidRDefault="00281C29" w:rsidP="00281C29">
      <w:pPr>
        <w:tabs>
          <w:tab w:val="left" w:pos="2787"/>
        </w:tabs>
      </w:pPr>
      <w:r>
        <w:t xml:space="preserve">The Front page gets most of the pageviews, 50% more than the share of visits of the front page of the Index site. This is in agreement with the significant drop-out in the visitor flow. 23% of the visits </w:t>
      </w:r>
      <w:r w:rsidR="00D54D36">
        <w:t>correspond</w:t>
      </w:r>
      <w:r>
        <w:t xml:space="preserve"> to </w:t>
      </w:r>
      <w:r w:rsidR="00D54D36">
        <w:t>staff</w:t>
      </w:r>
      <w:r>
        <w:t xml:space="preserve"> pages.</w:t>
      </w:r>
    </w:p>
    <w:p w14:paraId="431CA387" w14:textId="77777777" w:rsidR="00D54D36" w:rsidRDefault="00D54D36" w:rsidP="00281C29">
      <w:pPr>
        <w:tabs>
          <w:tab w:val="left" w:pos="2787"/>
        </w:tabs>
      </w:pPr>
    </w:p>
    <w:p w14:paraId="3CBA3C5F" w14:textId="77777777" w:rsidR="00D54D36" w:rsidRDefault="00D54D36" w:rsidP="00281C29">
      <w:pPr>
        <w:tabs>
          <w:tab w:val="left" w:pos="2787"/>
        </w:tabs>
      </w:pPr>
    </w:p>
    <w:p w14:paraId="4FAAE98B" w14:textId="77777777" w:rsidR="00D54D36" w:rsidRDefault="00D54D36" w:rsidP="00D54D36">
      <w:pPr>
        <w:keepNext/>
        <w:tabs>
          <w:tab w:val="left" w:pos="2787"/>
        </w:tabs>
      </w:pPr>
      <w:r>
        <w:rPr>
          <w:noProof/>
        </w:rPr>
        <w:drawing>
          <wp:inline distT="0" distB="0" distL="0" distR="0" wp14:anchorId="6C871929" wp14:editId="15DD195B">
            <wp:extent cx="4343400" cy="2857500"/>
            <wp:effectExtent l="0" t="0" r="254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CE5BF3" w14:textId="77777777" w:rsidR="00D54D36" w:rsidRDefault="00D54D36" w:rsidP="00D54D36">
      <w:pPr>
        <w:pStyle w:val="Caption"/>
      </w:pPr>
      <w:r>
        <w:t xml:space="preserve">Figure </w:t>
      </w:r>
      <w:fldSimple w:instr=" SEQ Figure \* ARABIC ">
        <w:r>
          <w:rPr>
            <w:noProof/>
          </w:rPr>
          <w:t>5</w:t>
        </w:r>
      </w:fldSimple>
      <w:r>
        <w:t xml:space="preserve">. Traffic Sources. </w:t>
      </w:r>
    </w:p>
    <w:p w14:paraId="09AA6D0C" w14:textId="77777777" w:rsidR="00D54D36" w:rsidRDefault="00D54D36" w:rsidP="00D54D36"/>
    <w:p w14:paraId="6A260AE5" w14:textId="77777777" w:rsidR="009309E4" w:rsidRDefault="00D54D36" w:rsidP="00D54D36">
      <w:r>
        <w:t>Compared to the Index site, the main site is much more appe</w:t>
      </w:r>
      <w:r w:rsidR="009309E4">
        <w:t xml:space="preserve">aling to Organic searches. </w:t>
      </w:r>
    </w:p>
    <w:p w14:paraId="507CF378" w14:textId="77777777" w:rsidR="009309E4" w:rsidRDefault="009309E4" w:rsidP="00D54D36"/>
    <w:p w14:paraId="64951B3B" w14:textId="77777777" w:rsidR="009309E4" w:rsidRDefault="00D54D36" w:rsidP="00D54D36">
      <w:r>
        <w:t>10% of</w:t>
      </w:r>
      <w:r w:rsidR="009309E4">
        <w:t xml:space="preserve"> our visits come from the Index (17% of the Index site visits come from the main page). In absolute numbers 3.4k visits to the Index start in the Main site, and 1.5k visits to the Main site start in the Index). </w:t>
      </w:r>
    </w:p>
    <w:p w14:paraId="4742A211" w14:textId="77777777" w:rsidR="009309E4" w:rsidRDefault="009309E4" w:rsidP="00D54D36"/>
    <w:p w14:paraId="625034C6" w14:textId="77777777" w:rsidR="009309E4" w:rsidRDefault="009309E4" w:rsidP="00D54D36">
      <w:r>
        <w:t>The hypothesis to explain this is that the Main site gets less traffic but is much more likeable by Google (yet most landing pages correspond to the main page)</w:t>
      </w:r>
      <w:bookmarkStart w:id="0" w:name="_GoBack"/>
      <w:bookmarkEnd w:id="0"/>
      <w:r>
        <w:t>. On the other side, the Index site, with more visits, is able to provide as much traffic as Google.</w:t>
      </w:r>
    </w:p>
    <w:p w14:paraId="3A057E86" w14:textId="77777777" w:rsidR="000F4F6F" w:rsidRDefault="000F4F6F" w:rsidP="00D54D36"/>
    <w:p w14:paraId="7FD3B869" w14:textId="77777777" w:rsidR="000F4F6F" w:rsidRDefault="00D54D36" w:rsidP="00D54D36">
      <w:r>
        <w:t xml:space="preserve"> </w:t>
      </w:r>
      <w:r w:rsidR="000F4F6F">
        <w:t xml:space="preserve">Regarding search terms we are mostly appealing to obvious terms like “Global Adaptation Institute”, “Global Adaptation Index”. Less so but still in our top 10 are other terms like </w:t>
      </w:r>
      <w:r w:rsidR="000F4F6F">
        <w:t xml:space="preserve">“Juan Jose daboub”, </w:t>
      </w:r>
      <w:r w:rsidR="000F4F6F">
        <w:t xml:space="preserve"> “gain” or  “Ian Noble”</w:t>
      </w:r>
    </w:p>
    <w:p w14:paraId="78569D43" w14:textId="77777777" w:rsidR="000F4F6F" w:rsidRDefault="000F4F6F" w:rsidP="00D54D36"/>
    <w:p w14:paraId="2DDBFCC4" w14:textId="77777777" w:rsidR="000F4F6F" w:rsidRPr="00D54D36" w:rsidRDefault="000F4F6F" w:rsidP="00D54D36"/>
    <w:sectPr w:rsidR="000F4F6F" w:rsidRPr="00D54D36" w:rsidSect="00936A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772A4" w14:textId="77777777" w:rsidR="00D54D36" w:rsidRDefault="00D54D36" w:rsidP="00276A09">
      <w:r>
        <w:separator/>
      </w:r>
    </w:p>
  </w:endnote>
  <w:endnote w:type="continuationSeparator" w:id="0">
    <w:p w14:paraId="4F374992" w14:textId="77777777" w:rsidR="00D54D36" w:rsidRDefault="00D54D36" w:rsidP="0027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27B6B" w14:textId="77777777" w:rsidR="00D54D36" w:rsidRDefault="00D54D36" w:rsidP="00276A09">
      <w:r>
        <w:separator/>
      </w:r>
    </w:p>
  </w:footnote>
  <w:footnote w:type="continuationSeparator" w:id="0">
    <w:p w14:paraId="62C5D142" w14:textId="77777777" w:rsidR="00D54D36" w:rsidRDefault="00D54D36" w:rsidP="00276A09">
      <w:r>
        <w:continuationSeparator/>
      </w:r>
    </w:p>
  </w:footnote>
  <w:footnote w:id="1">
    <w:p w14:paraId="08834384" w14:textId="77777777" w:rsidR="00D54D36" w:rsidRDefault="00D54D36">
      <w:pPr>
        <w:pStyle w:val="FootnoteText"/>
      </w:pPr>
      <w:r>
        <w:rPr>
          <w:rStyle w:val="FootnoteReference"/>
        </w:rPr>
        <w:footnoteRef/>
      </w:r>
      <w:r>
        <w:t xml:space="preserve"> Index site and Main site are completely different in terms of web servers. I will install a tracker to know who “drops out” into the Index site. A rough estimate of this number can be calculated with some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25E76"/>
    <w:multiLevelType w:val="hybridMultilevel"/>
    <w:tmpl w:val="2DC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8F2C79"/>
    <w:multiLevelType w:val="hybridMultilevel"/>
    <w:tmpl w:val="CC76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F6"/>
    <w:rsid w:val="000F4F6F"/>
    <w:rsid w:val="00276A09"/>
    <w:rsid w:val="00281C29"/>
    <w:rsid w:val="003A011C"/>
    <w:rsid w:val="003B6FD0"/>
    <w:rsid w:val="00625712"/>
    <w:rsid w:val="009309E4"/>
    <w:rsid w:val="00936ABF"/>
    <w:rsid w:val="00B873F6"/>
    <w:rsid w:val="00D54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436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3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F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873F6"/>
    <w:pPr>
      <w:ind w:left="720"/>
      <w:contextualSpacing/>
    </w:pPr>
    <w:rPr>
      <w:rFonts w:ascii="Georgia" w:eastAsiaTheme="minorHAnsi" w:hAnsi="Georgia" w:cs="Arial"/>
      <w:sz w:val="22"/>
      <w:szCs w:val="22"/>
      <w:lang w:eastAsia="ja-JP"/>
    </w:rPr>
  </w:style>
  <w:style w:type="character" w:customStyle="1" w:styleId="apple-converted-space">
    <w:name w:val="apple-converted-space"/>
    <w:basedOn w:val="DefaultParagraphFont"/>
    <w:rsid w:val="00625712"/>
  </w:style>
  <w:style w:type="character" w:styleId="Hyperlink">
    <w:name w:val="Hyperlink"/>
    <w:basedOn w:val="DefaultParagraphFont"/>
    <w:uiPriority w:val="99"/>
    <w:semiHidden/>
    <w:unhideWhenUsed/>
    <w:rsid w:val="00625712"/>
    <w:rPr>
      <w:color w:val="0000FF"/>
      <w:u w:val="single"/>
    </w:rPr>
  </w:style>
  <w:style w:type="paragraph" w:styleId="BalloonText">
    <w:name w:val="Balloon Text"/>
    <w:basedOn w:val="Normal"/>
    <w:link w:val="BalloonTextChar"/>
    <w:uiPriority w:val="99"/>
    <w:semiHidden/>
    <w:unhideWhenUsed/>
    <w:rsid w:val="006257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712"/>
    <w:rPr>
      <w:rFonts w:ascii="Lucida Grande" w:hAnsi="Lucida Grande" w:cs="Lucida Grande"/>
      <w:sz w:val="18"/>
      <w:szCs w:val="18"/>
    </w:rPr>
  </w:style>
  <w:style w:type="paragraph" w:styleId="Caption">
    <w:name w:val="caption"/>
    <w:basedOn w:val="Normal"/>
    <w:next w:val="Normal"/>
    <w:uiPriority w:val="35"/>
    <w:unhideWhenUsed/>
    <w:qFormat/>
    <w:rsid w:val="003A011C"/>
    <w:pPr>
      <w:spacing w:after="200"/>
    </w:pPr>
    <w:rPr>
      <w:b/>
      <w:bCs/>
      <w:color w:val="4F81BD" w:themeColor="accent1"/>
      <w:sz w:val="18"/>
      <w:szCs w:val="18"/>
    </w:rPr>
  </w:style>
  <w:style w:type="paragraph" w:styleId="FootnoteText">
    <w:name w:val="footnote text"/>
    <w:basedOn w:val="Normal"/>
    <w:link w:val="FootnoteTextChar"/>
    <w:uiPriority w:val="99"/>
    <w:unhideWhenUsed/>
    <w:rsid w:val="00276A09"/>
  </w:style>
  <w:style w:type="character" w:customStyle="1" w:styleId="FootnoteTextChar">
    <w:name w:val="Footnote Text Char"/>
    <w:basedOn w:val="DefaultParagraphFont"/>
    <w:link w:val="FootnoteText"/>
    <w:uiPriority w:val="99"/>
    <w:rsid w:val="00276A09"/>
  </w:style>
  <w:style w:type="character" w:styleId="FootnoteReference">
    <w:name w:val="footnote reference"/>
    <w:basedOn w:val="DefaultParagraphFont"/>
    <w:uiPriority w:val="99"/>
    <w:unhideWhenUsed/>
    <w:rsid w:val="00276A0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3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F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873F6"/>
    <w:pPr>
      <w:ind w:left="720"/>
      <w:contextualSpacing/>
    </w:pPr>
    <w:rPr>
      <w:rFonts w:ascii="Georgia" w:eastAsiaTheme="minorHAnsi" w:hAnsi="Georgia" w:cs="Arial"/>
      <w:sz w:val="22"/>
      <w:szCs w:val="22"/>
      <w:lang w:eastAsia="ja-JP"/>
    </w:rPr>
  </w:style>
  <w:style w:type="character" w:customStyle="1" w:styleId="apple-converted-space">
    <w:name w:val="apple-converted-space"/>
    <w:basedOn w:val="DefaultParagraphFont"/>
    <w:rsid w:val="00625712"/>
  </w:style>
  <w:style w:type="character" w:styleId="Hyperlink">
    <w:name w:val="Hyperlink"/>
    <w:basedOn w:val="DefaultParagraphFont"/>
    <w:uiPriority w:val="99"/>
    <w:semiHidden/>
    <w:unhideWhenUsed/>
    <w:rsid w:val="00625712"/>
    <w:rPr>
      <w:color w:val="0000FF"/>
      <w:u w:val="single"/>
    </w:rPr>
  </w:style>
  <w:style w:type="paragraph" w:styleId="BalloonText">
    <w:name w:val="Balloon Text"/>
    <w:basedOn w:val="Normal"/>
    <w:link w:val="BalloonTextChar"/>
    <w:uiPriority w:val="99"/>
    <w:semiHidden/>
    <w:unhideWhenUsed/>
    <w:rsid w:val="006257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712"/>
    <w:rPr>
      <w:rFonts w:ascii="Lucida Grande" w:hAnsi="Lucida Grande" w:cs="Lucida Grande"/>
      <w:sz w:val="18"/>
      <w:szCs w:val="18"/>
    </w:rPr>
  </w:style>
  <w:style w:type="paragraph" w:styleId="Caption">
    <w:name w:val="caption"/>
    <w:basedOn w:val="Normal"/>
    <w:next w:val="Normal"/>
    <w:uiPriority w:val="35"/>
    <w:unhideWhenUsed/>
    <w:qFormat/>
    <w:rsid w:val="003A011C"/>
    <w:pPr>
      <w:spacing w:after="200"/>
    </w:pPr>
    <w:rPr>
      <w:b/>
      <w:bCs/>
      <w:color w:val="4F81BD" w:themeColor="accent1"/>
      <w:sz w:val="18"/>
      <w:szCs w:val="18"/>
    </w:rPr>
  </w:style>
  <w:style w:type="paragraph" w:styleId="FootnoteText">
    <w:name w:val="footnote text"/>
    <w:basedOn w:val="Normal"/>
    <w:link w:val="FootnoteTextChar"/>
    <w:uiPriority w:val="99"/>
    <w:unhideWhenUsed/>
    <w:rsid w:val="00276A09"/>
  </w:style>
  <w:style w:type="character" w:customStyle="1" w:styleId="FootnoteTextChar">
    <w:name w:val="Footnote Text Char"/>
    <w:basedOn w:val="DefaultParagraphFont"/>
    <w:link w:val="FootnoteText"/>
    <w:uiPriority w:val="99"/>
    <w:rsid w:val="00276A09"/>
  </w:style>
  <w:style w:type="character" w:styleId="FootnoteReference">
    <w:name w:val="footnote reference"/>
    <w:basedOn w:val="DefaultParagraphFont"/>
    <w:uiPriority w:val="99"/>
    <w:unhideWhenUsed/>
    <w:rsid w:val="00276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21794">
      <w:bodyDiv w:val="1"/>
      <w:marLeft w:val="0"/>
      <w:marRight w:val="0"/>
      <w:marTop w:val="0"/>
      <w:marBottom w:val="0"/>
      <w:divBdr>
        <w:top w:val="none" w:sz="0" w:space="0" w:color="auto"/>
        <w:left w:val="none" w:sz="0" w:space="0" w:color="auto"/>
        <w:bottom w:val="none" w:sz="0" w:space="0" w:color="auto"/>
        <w:right w:val="none" w:sz="0" w:space="0" w:color="auto"/>
      </w:divBdr>
    </w:div>
    <w:div w:id="1762026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lobalai.org/post/13543917035/durban-is-someone-missing-from-the-negotiation-table" TargetMode="External"/><Relationship Id="rId10"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unosan:Dropbox:GaIn:GAIN%20model:Gain%202012%20update:report:mainwebsi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unosan:Dropbox:GaIn:GAIN%20model:Gain%202012%20update:report:mainwebsi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Page Views</a:t>
            </a:r>
            <a:endParaRPr lang="en-US"/>
          </a:p>
        </c:rich>
      </c:tx>
      <c:layout/>
      <c:overlay val="0"/>
    </c:title>
    <c:autoTitleDeleted val="0"/>
    <c:plotArea>
      <c:layout/>
      <c:pieChart>
        <c:varyColors val="1"/>
        <c:ser>
          <c:idx val="0"/>
          <c:order val="0"/>
          <c:tx>
            <c:strRef>
              <c:f>'Page views'!$B$1</c:f>
              <c:strCache>
                <c:ptCount val="1"/>
                <c:pt idx="0">
                  <c:v>Pageviews</c:v>
                </c:pt>
              </c:strCache>
            </c:strRef>
          </c:tx>
          <c:dLbls>
            <c:txPr>
              <a:bodyPr/>
              <a:lstStyle/>
              <a:p>
                <a:pPr>
                  <a:defRPr sz="1400"/>
                </a:pPr>
                <a:endParaRPr lang="en-US"/>
              </a:p>
            </c:txPr>
            <c:showLegendKey val="0"/>
            <c:showVal val="0"/>
            <c:showCatName val="0"/>
            <c:showSerName val="0"/>
            <c:showPercent val="1"/>
            <c:showBubbleSize val="0"/>
            <c:showLeaderLines val="1"/>
          </c:dLbls>
          <c:cat>
            <c:strRef>
              <c:f>'Page views'!$A$2:$A$11</c:f>
              <c:strCache>
                <c:ptCount val="10"/>
                <c:pt idx="0">
                  <c:v>/</c:v>
                </c:pt>
                <c:pt idx="1">
                  <c:v>/team/</c:v>
                </c:pt>
                <c:pt idx="2">
                  <c:v>/work/</c:v>
                </c:pt>
                <c:pt idx="3">
                  <c:v>/contact/</c:v>
                </c:pt>
                <c:pt idx="4">
                  <c:v>/annual-meeting-2012/</c:v>
                </c:pt>
                <c:pt idx="5">
                  <c:v>/content/about-us</c:v>
                </c:pt>
                <c:pt idx="6">
                  <c:v>Old staff page</c:v>
                </c:pt>
                <c:pt idx="7">
                  <c:v>Old leadership page</c:v>
                </c:pt>
                <c:pt idx="8">
                  <c:v>/team/ian-noble/</c:v>
                </c:pt>
                <c:pt idx="9">
                  <c:v>/team/juan-jose-daboub/</c:v>
                </c:pt>
              </c:strCache>
            </c:strRef>
          </c:cat>
          <c:val>
            <c:numRef>
              <c:f>'Page views'!$B$2:$B$11</c:f>
              <c:numCache>
                <c:formatCode>#,##0</c:formatCode>
                <c:ptCount val="10"/>
                <c:pt idx="0">
                  <c:v>21570.0</c:v>
                </c:pt>
                <c:pt idx="1">
                  <c:v>4161.0</c:v>
                </c:pt>
                <c:pt idx="2">
                  <c:v>1661.0</c:v>
                </c:pt>
                <c:pt idx="3">
                  <c:v>1461.0</c:v>
                </c:pt>
                <c:pt idx="4">
                  <c:v>1263.0</c:v>
                </c:pt>
                <c:pt idx="5" formatCode="General">
                  <c:v>983.0</c:v>
                </c:pt>
                <c:pt idx="6" formatCode="General">
                  <c:v>828.0</c:v>
                </c:pt>
                <c:pt idx="7" formatCode="General">
                  <c:v>670.0</c:v>
                </c:pt>
                <c:pt idx="8" formatCode="General">
                  <c:v>623.0</c:v>
                </c:pt>
                <c:pt idx="9" formatCode="General">
                  <c:v>613.0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64373400811434"/>
          <c:y val="0.143781518181014"/>
          <c:w val="0.422387650376737"/>
          <c:h val="0.774757807661683"/>
        </c:manualLayout>
      </c:layout>
      <c:overlay val="0"/>
      <c:spPr>
        <a:solidFill>
          <a:schemeClr val="lt1"/>
        </a:solidFill>
        <a:ln w="25400" cap="flat" cmpd="sng" algn="ctr">
          <a:noFill/>
          <a:prstDash val="solid"/>
        </a:ln>
        <a:effectLst/>
      </c:spPr>
      <c:txPr>
        <a:bodyPr/>
        <a:lstStyle/>
        <a:p>
          <a:pPr rtl="0">
            <a:defRPr sz="1400">
              <a:solidFill>
                <a:schemeClr val="dk1"/>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400"/>
            </a:pPr>
            <a:r>
              <a:rPr lang="en-US" sz="2400"/>
              <a:t>Traffic</a:t>
            </a:r>
            <a:r>
              <a:rPr lang="en-US" sz="2400" baseline="0"/>
              <a:t> sources</a:t>
            </a:r>
            <a:endParaRPr lang="en-US" sz="2400"/>
          </a:p>
        </c:rich>
      </c:tx>
      <c:layout/>
      <c:overlay val="0"/>
    </c:title>
    <c:autoTitleDeleted val="0"/>
    <c:plotArea>
      <c:layout/>
      <c:pieChart>
        <c:varyColors val="1"/>
        <c:ser>
          <c:idx val="0"/>
          <c:order val="0"/>
          <c:explosion val="1"/>
          <c:dLbls>
            <c:txPr>
              <a:bodyPr/>
              <a:lstStyle/>
              <a:p>
                <a:pPr>
                  <a:defRPr sz="1400"/>
                </a:pPr>
                <a:endParaRPr lang="en-US"/>
              </a:p>
            </c:txPr>
            <c:showLegendKey val="0"/>
            <c:showVal val="0"/>
            <c:showCatName val="0"/>
            <c:showSerName val="0"/>
            <c:showPercent val="1"/>
            <c:showBubbleSize val="0"/>
            <c:showLeaderLines val="1"/>
          </c:dLbls>
          <c:cat>
            <c:strRef>
              <c:f>Sheet2!$A$9:$A$13</c:f>
              <c:strCache>
                <c:ptCount val="5"/>
                <c:pt idx="0">
                  <c:v>Google</c:v>
                </c:pt>
                <c:pt idx="1">
                  <c:v>Direct</c:v>
                </c:pt>
                <c:pt idx="2">
                  <c:v>Gain Index</c:v>
                </c:pt>
                <c:pt idx="3">
                  <c:v>Facebook</c:v>
                </c:pt>
                <c:pt idx="4">
                  <c:v>Publico</c:v>
                </c:pt>
              </c:strCache>
            </c:strRef>
          </c:cat>
          <c:val>
            <c:numRef>
              <c:f>Sheet2!$B$9:$B$13</c:f>
              <c:numCache>
                <c:formatCode>#,##0</c:formatCode>
                <c:ptCount val="5"/>
                <c:pt idx="0">
                  <c:v>6495.0</c:v>
                </c:pt>
                <c:pt idx="1">
                  <c:v>6354.0</c:v>
                </c:pt>
                <c:pt idx="2" formatCode="General">
                  <c:v>1517.0</c:v>
                </c:pt>
                <c:pt idx="3" formatCode="General">
                  <c:v>595.0</c:v>
                </c:pt>
                <c:pt idx="4" formatCode="General">
                  <c:v>302.0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75757633954292"/>
          <c:y val="0.275218607542478"/>
          <c:w val="0.342202454737504"/>
          <c:h val="0.66356195607128"/>
        </c:manualLayou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667</Words>
  <Characters>3803</Characters>
  <Application>Microsoft Macintosh Word</Application>
  <DocSecurity>0</DocSecurity>
  <Lines>31</Lines>
  <Paragraphs>8</Paragraphs>
  <ScaleCrop>false</ScaleCrop>
  <Company>Global Adaptation Institute</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Sanchez-Andrade Nuno</dc:creator>
  <cp:keywords/>
  <dc:description/>
  <cp:lastModifiedBy>Bruno Sanchez-Andrade Nuno</cp:lastModifiedBy>
  <cp:revision>2</cp:revision>
  <dcterms:created xsi:type="dcterms:W3CDTF">2012-08-27T21:01:00Z</dcterms:created>
  <dcterms:modified xsi:type="dcterms:W3CDTF">2012-08-27T22:39:00Z</dcterms:modified>
</cp:coreProperties>
</file>