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BA886D" w14:textId="05F90A73" w:rsidR="00936ABF" w:rsidRDefault="002D3059" w:rsidP="00561E06">
      <w:pPr>
        <w:jc w:val="center"/>
        <w:rPr>
          <w:b/>
          <w:sz w:val="32"/>
          <w:szCs w:val="32"/>
        </w:rPr>
      </w:pPr>
      <w:r>
        <w:rPr>
          <w:b/>
          <w:sz w:val="32"/>
          <w:szCs w:val="32"/>
        </w:rPr>
        <w:t>GAIN Index</w:t>
      </w:r>
      <w:r w:rsidRPr="00561E06">
        <w:rPr>
          <w:b/>
          <w:sz w:val="32"/>
          <w:szCs w:val="32"/>
        </w:rPr>
        <w:t xml:space="preserve"> </w:t>
      </w:r>
      <w:r w:rsidR="00561E06" w:rsidRPr="00561E06">
        <w:rPr>
          <w:b/>
          <w:sz w:val="32"/>
          <w:szCs w:val="32"/>
        </w:rPr>
        <w:t>2012 Summary of changes</w:t>
      </w:r>
    </w:p>
    <w:p w14:paraId="0510AF6B" w14:textId="77777777" w:rsidR="00561E06" w:rsidRDefault="00561E06" w:rsidP="00561E06">
      <w:pPr>
        <w:jc w:val="center"/>
        <w:rPr>
          <w:b/>
          <w:sz w:val="32"/>
          <w:szCs w:val="32"/>
        </w:rPr>
      </w:pPr>
    </w:p>
    <w:p w14:paraId="6C264C0C" w14:textId="77777777" w:rsidR="00561E06" w:rsidRPr="00561E06" w:rsidRDefault="00561E06" w:rsidP="00561E06">
      <w:pPr>
        <w:jc w:val="center"/>
        <w:rPr>
          <w:sz w:val="32"/>
          <w:szCs w:val="32"/>
        </w:rPr>
      </w:pPr>
    </w:p>
    <w:p w14:paraId="144060B2" w14:textId="77777777" w:rsidR="00561E06" w:rsidRPr="001E338A" w:rsidRDefault="00561E06" w:rsidP="00290B64">
      <w:pPr>
        <w:pStyle w:val="Heading1"/>
      </w:pPr>
      <w:bookmarkStart w:id="0" w:name="_Toc205256424"/>
      <w:r w:rsidRPr="001E338A">
        <w:t>Abstract</w:t>
      </w:r>
      <w:bookmarkEnd w:id="0"/>
    </w:p>
    <w:p w14:paraId="04CA5BB8" w14:textId="6F1812E8" w:rsidR="001E338A" w:rsidRDefault="002D3059" w:rsidP="00561E06">
      <w:pPr>
        <w:jc w:val="both"/>
      </w:pPr>
      <w:r>
        <w:t>The Global Adaptation Institute (GAIN) launched t</w:t>
      </w:r>
      <w:r w:rsidR="00561E06">
        <w:t xml:space="preserve">he </w:t>
      </w:r>
      <w:r>
        <w:t xml:space="preserve">GAIN </w:t>
      </w:r>
      <w:r w:rsidR="00561E06">
        <w:t xml:space="preserve">Index September </w:t>
      </w:r>
      <w:r>
        <w:t xml:space="preserve">14, </w:t>
      </w:r>
      <w:r w:rsidR="00561E06">
        <w:t xml:space="preserve">2011. </w:t>
      </w:r>
      <w:r w:rsidR="00B31806">
        <w:t>Over the following year</w:t>
      </w:r>
      <w:r>
        <w:t xml:space="preserve">, the institute </w:t>
      </w:r>
      <w:r w:rsidR="00B31806">
        <w:t>has focused on</w:t>
      </w:r>
      <w:r w:rsidR="00CC3A5B">
        <w:t xml:space="preserve"> </w:t>
      </w:r>
      <w:r w:rsidR="00561E06">
        <w:t xml:space="preserve">growing </w:t>
      </w:r>
      <w:r w:rsidR="00B31806">
        <w:t xml:space="preserve">the </w:t>
      </w:r>
      <w:r w:rsidR="00561E06">
        <w:t>user base and gather</w:t>
      </w:r>
      <w:r>
        <w:t>ing</w:t>
      </w:r>
      <w:r w:rsidR="00561E06">
        <w:t xml:space="preserve"> feedback. </w:t>
      </w:r>
      <w:r>
        <w:t>GAIN has presented the index</w:t>
      </w:r>
      <w:r w:rsidR="00561E06">
        <w:t xml:space="preserve"> to public and private sector entities, as well as NGO</w:t>
      </w:r>
      <w:r>
        <w:t>s</w:t>
      </w:r>
      <w:r w:rsidR="00561E06">
        <w:t xml:space="preserve">, academics and other stakeholders. </w:t>
      </w:r>
      <w:r>
        <w:t>The GAIN Index methodology and f</w:t>
      </w:r>
      <w:r w:rsidR="00561E06">
        <w:t xml:space="preserve">ramework </w:t>
      </w:r>
      <w:r w:rsidR="00CC3A5B">
        <w:t xml:space="preserve">has remained unmodified </w:t>
      </w:r>
      <w:r w:rsidR="00561E06">
        <w:t>since late August 2011. For th</w:t>
      </w:r>
      <w:r>
        <w:t xml:space="preserve">e 2012 </w:t>
      </w:r>
      <w:r w:rsidR="00561E06">
        <w:t xml:space="preserve">release </w:t>
      </w:r>
      <w:r>
        <w:t>GAIN has</w:t>
      </w:r>
      <w:r w:rsidR="00561E06">
        <w:t xml:space="preserve"> concentrated </w:t>
      </w:r>
      <w:r>
        <w:t>on</w:t>
      </w:r>
      <w:r w:rsidR="00561E06">
        <w:t xml:space="preserve"> </w:t>
      </w:r>
      <w:r w:rsidR="00290B64">
        <w:t>a complete</w:t>
      </w:r>
      <w:r w:rsidR="001E338A">
        <w:t xml:space="preserve"> </w:t>
      </w:r>
      <w:r w:rsidR="00561E06">
        <w:t>internal</w:t>
      </w:r>
      <w:r w:rsidR="001E338A">
        <w:t xml:space="preserve"> audit, fixing </w:t>
      </w:r>
      <w:r>
        <w:t>“</w:t>
      </w:r>
      <w:r w:rsidR="001E338A">
        <w:t>bugs</w:t>
      </w:r>
      <w:r>
        <w:t>”</w:t>
      </w:r>
      <w:r w:rsidR="001E338A">
        <w:t xml:space="preserve"> and </w:t>
      </w:r>
      <w:r w:rsidR="00290B64">
        <w:t xml:space="preserve">also </w:t>
      </w:r>
      <w:r w:rsidR="001E338A">
        <w:t>supporting users</w:t>
      </w:r>
      <w:r w:rsidR="00261E0B">
        <w:t xml:space="preserve"> of the </w:t>
      </w:r>
      <w:r w:rsidR="00290B64">
        <w:t>i</w:t>
      </w:r>
      <w:r w:rsidR="00261E0B">
        <w:t>ndex</w:t>
      </w:r>
      <w:r w:rsidR="00290B64">
        <w:t xml:space="preserve"> and gathering user feedback</w:t>
      </w:r>
      <w:r w:rsidR="001E338A">
        <w:t xml:space="preserve">. </w:t>
      </w:r>
      <w:r>
        <w:t>C</w:t>
      </w:r>
      <w:r w:rsidR="001E338A">
        <w:t>ommunications and fundraising</w:t>
      </w:r>
      <w:r>
        <w:t xml:space="preserve"> around the index were also important focuses of GAIN</w:t>
      </w:r>
      <w:r w:rsidR="001E338A">
        <w:t xml:space="preserve">. Following the </w:t>
      </w:r>
      <w:r w:rsidR="00290B64">
        <w:t>recommendations</w:t>
      </w:r>
      <w:r>
        <w:t xml:space="preserve"> from last year,</w:t>
      </w:r>
      <w:r w:rsidR="001E338A">
        <w:t xml:space="preserve"> </w:t>
      </w:r>
      <w:r>
        <w:t xml:space="preserve">GAIN </w:t>
      </w:r>
      <w:r w:rsidR="001E338A">
        <w:t>ha</w:t>
      </w:r>
      <w:r>
        <w:t>s</w:t>
      </w:r>
      <w:r w:rsidR="001E338A">
        <w:t xml:space="preserve"> draft</w:t>
      </w:r>
      <w:r>
        <w:t>ed</w:t>
      </w:r>
      <w:r w:rsidR="001E338A">
        <w:t xml:space="preserve"> additions to the </w:t>
      </w:r>
      <w:r>
        <w:t>i</w:t>
      </w:r>
      <w:r w:rsidR="001E338A">
        <w:t>ndex</w:t>
      </w:r>
      <w:r w:rsidR="00290B64">
        <w:t xml:space="preserve"> (</w:t>
      </w:r>
      <w:r>
        <w:t>indicators that measure e</w:t>
      </w:r>
      <w:r w:rsidR="001E338A">
        <w:t>cosystem</w:t>
      </w:r>
      <w:r>
        <w:t xml:space="preserve"> services</w:t>
      </w:r>
      <w:r w:rsidR="001E338A">
        <w:t xml:space="preserve"> and </w:t>
      </w:r>
      <w:r>
        <w:t>u</w:t>
      </w:r>
      <w:r w:rsidR="001E338A">
        <w:t>rban</w:t>
      </w:r>
      <w:r>
        <w:t xml:space="preserve"> resilience</w:t>
      </w:r>
      <w:r w:rsidR="001E338A">
        <w:t xml:space="preserve">). </w:t>
      </w:r>
      <w:r>
        <w:t>GAIN is also considering i</w:t>
      </w:r>
      <w:r w:rsidR="001E338A">
        <w:t xml:space="preserve">mproving the Readiness </w:t>
      </w:r>
      <w:r>
        <w:t>A</w:t>
      </w:r>
      <w:r w:rsidR="001E338A">
        <w:t xml:space="preserve">xis, but not for </w:t>
      </w:r>
      <w:r>
        <w:t>the 2012 release.</w:t>
      </w:r>
    </w:p>
    <w:p w14:paraId="4DBE93F3" w14:textId="77777777" w:rsidR="005C7B5E" w:rsidRDefault="005C7B5E">
      <w:pPr>
        <w:rPr>
          <w:rFonts w:asciiTheme="majorHAnsi" w:eastAsiaTheme="majorEastAsia" w:hAnsiTheme="majorHAnsi" w:cstheme="majorBidi"/>
          <w:b/>
          <w:bCs/>
          <w:color w:val="345A8A" w:themeColor="accent1" w:themeShade="B5"/>
          <w:sz w:val="32"/>
          <w:szCs w:val="32"/>
        </w:rPr>
      </w:pPr>
    </w:p>
    <w:p w14:paraId="43BA05B6" w14:textId="7584338D" w:rsidR="00290B64" w:rsidRDefault="00290B64">
      <w:pPr>
        <w:rPr>
          <w:rFonts w:asciiTheme="majorHAnsi" w:eastAsiaTheme="majorEastAsia" w:hAnsiTheme="majorHAnsi" w:cstheme="majorBidi"/>
          <w:b/>
          <w:bCs/>
          <w:color w:val="345A8A" w:themeColor="accent1" w:themeShade="B5"/>
          <w:sz w:val="32"/>
          <w:szCs w:val="32"/>
        </w:rPr>
      </w:pPr>
    </w:p>
    <w:p w14:paraId="3590B712" w14:textId="6BBAADAB" w:rsidR="005C7B5E" w:rsidRDefault="005C7B5E">
      <w:pPr>
        <w:rPr>
          <w:rFonts w:asciiTheme="majorHAnsi" w:eastAsiaTheme="majorEastAsia" w:hAnsiTheme="majorHAnsi" w:cstheme="majorBidi"/>
          <w:b/>
          <w:bCs/>
          <w:color w:val="345A8A" w:themeColor="accent1" w:themeShade="B5"/>
          <w:sz w:val="32"/>
          <w:szCs w:val="32"/>
        </w:rPr>
      </w:pPr>
      <w:r>
        <w:rPr>
          <w:noProof/>
        </w:rPr>
        <w:drawing>
          <wp:anchor distT="0" distB="0" distL="114300" distR="114300" simplePos="0" relativeHeight="251661312" behindDoc="0" locked="0" layoutInCell="1" allowOverlap="1" wp14:anchorId="0BCC0FC6" wp14:editId="6B15E067">
            <wp:simplePos x="0" y="0"/>
            <wp:positionH relativeFrom="margin">
              <wp:posOffset>1371600</wp:posOffset>
            </wp:positionH>
            <wp:positionV relativeFrom="margin">
              <wp:posOffset>4000500</wp:posOffset>
            </wp:positionV>
            <wp:extent cx="2833370" cy="2776855"/>
            <wp:effectExtent l="0" t="0" r="11430" b="0"/>
            <wp:wrapSquare wrapText="bothSides"/>
            <wp:docPr id="7" name="Picture 7" descr="Macintosh HD:Users:brunosan:Dropbox:GaIn:GAIN all-hands:DAVIS:Communications:Branding_Graphics_Logos:Matrix:matrix_js_n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unosan:Dropbox:GaIn:GAIN all-hands:DAVIS:Communications:Branding_Graphics_Logos:Matrix:matrix_js_no_logo.jpg"/>
                    <pic:cNvPicPr>
                      <a:picLocks noChangeAspect="1" noChangeArrowheads="1"/>
                    </pic:cNvPicPr>
                  </pic:nvPicPr>
                  <pic:blipFill rotWithShape="1">
                    <a:blip r:embed="rId8">
                      <a:extLst>
                        <a:ext uri="{28A0092B-C50C-407E-A947-70E740481C1C}">
                          <a14:useLocalDpi xmlns:a14="http://schemas.microsoft.com/office/drawing/2010/main" val="0"/>
                        </a:ext>
                      </a:extLst>
                    </a:blip>
                    <a:srcRect l="4699" t="15259" r="7854" b="3652"/>
                    <a:stretch/>
                  </pic:blipFill>
                  <pic:spPr bwMode="auto">
                    <a:xfrm>
                      <a:off x="0" y="0"/>
                      <a:ext cx="2833370" cy="2776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p w14:paraId="408B6DFF" w14:textId="233EA6C6" w:rsidR="00290B64" w:rsidRPr="001E338A" w:rsidRDefault="00290B64" w:rsidP="00290B64">
      <w:pPr>
        <w:pStyle w:val="Heading1"/>
      </w:pPr>
      <w:bookmarkStart w:id="1" w:name="_Toc205256425"/>
      <w:r>
        <w:lastRenderedPageBreak/>
        <w:t>Table of Contents</w:t>
      </w:r>
      <w:bookmarkEnd w:id="1"/>
    </w:p>
    <w:p w14:paraId="51E3207D" w14:textId="77777777" w:rsidR="009451CF" w:rsidRDefault="006E57EF">
      <w:pPr>
        <w:pStyle w:val="TOC1"/>
        <w:tabs>
          <w:tab w:val="right" w:leader="dot" w:pos="8630"/>
        </w:tabs>
        <w:rPr>
          <w:noProof/>
          <w:lang w:eastAsia="ja-JP"/>
        </w:rPr>
      </w:pPr>
      <w:r>
        <w:fldChar w:fldCharType="begin"/>
      </w:r>
      <w:r>
        <w:instrText xml:space="preserve"> TOC \o "1-3" </w:instrText>
      </w:r>
      <w:r>
        <w:fldChar w:fldCharType="separate"/>
      </w:r>
      <w:r w:rsidR="009451CF">
        <w:rPr>
          <w:noProof/>
        </w:rPr>
        <w:t>Abstract</w:t>
      </w:r>
      <w:r w:rsidR="009451CF">
        <w:rPr>
          <w:noProof/>
        </w:rPr>
        <w:tab/>
      </w:r>
      <w:r w:rsidR="009451CF">
        <w:rPr>
          <w:noProof/>
        </w:rPr>
        <w:fldChar w:fldCharType="begin"/>
      </w:r>
      <w:r w:rsidR="009451CF">
        <w:rPr>
          <w:noProof/>
        </w:rPr>
        <w:instrText xml:space="preserve"> PAGEREF _Toc205256424 \h </w:instrText>
      </w:r>
      <w:r w:rsidR="009451CF">
        <w:rPr>
          <w:noProof/>
        </w:rPr>
      </w:r>
      <w:r w:rsidR="009451CF">
        <w:rPr>
          <w:noProof/>
        </w:rPr>
        <w:fldChar w:fldCharType="separate"/>
      </w:r>
      <w:r w:rsidR="009451CF">
        <w:rPr>
          <w:noProof/>
        </w:rPr>
        <w:t>1</w:t>
      </w:r>
      <w:r w:rsidR="009451CF">
        <w:rPr>
          <w:noProof/>
        </w:rPr>
        <w:fldChar w:fldCharType="end"/>
      </w:r>
    </w:p>
    <w:p w14:paraId="11622B70" w14:textId="77777777" w:rsidR="009451CF" w:rsidRDefault="009451CF">
      <w:pPr>
        <w:pStyle w:val="TOC1"/>
        <w:tabs>
          <w:tab w:val="right" w:leader="dot" w:pos="8630"/>
        </w:tabs>
        <w:rPr>
          <w:noProof/>
          <w:lang w:eastAsia="ja-JP"/>
        </w:rPr>
      </w:pPr>
      <w:r>
        <w:rPr>
          <w:noProof/>
        </w:rPr>
        <w:t>Table of Contents</w:t>
      </w:r>
      <w:r>
        <w:rPr>
          <w:noProof/>
        </w:rPr>
        <w:tab/>
      </w:r>
      <w:r>
        <w:rPr>
          <w:noProof/>
        </w:rPr>
        <w:fldChar w:fldCharType="begin"/>
      </w:r>
      <w:r>
        <w:rPr>
          <w:noProof/>
        </w:rPr>
        <w:instrText xml:space="preserve"> PAGEREF _Toc205256425 \h </w:instrText>
      </w:r>
      <w:r>
        <w:rPr>
          <w:noProof/>
        </w:rPr>
      </w:r>
      <w:r>
        <w:rPr>
          <w:noProof/>
        </w:rPr>
        <w:fldChar w:fldCharType="separate"/>
      </w:r>
      <w:r>
        <w:rPr>
          <w:noProof/>
        </w:rPr>
        <w:t>2</w:t>
      </w:r>
      <w:r>
        <w:rPr>
          <w:noProof/>
        </w:rPr>
        <w:fldChar w:fldCharType="end"/>
      </w:r>
    </w:p>
    <w:p w14:paraId="7E291ADC" w14:textId="77777777" w:rsidR="009451CF" w:rsidRDefault="009451CF">
      <w:pPr>
        <w:pStyle w:val="TOC1"/>
        <w:tabs>
          <w:tab w:val="right" w:leader="dot" w:pos="8630"/>
        </w:tabs>
        <w:rPr>
          <w:noProof/>
          <w:lang w:eastAsia="ja-JP"/>
        </w:rPr>
      </w:pPr>
      <w:r>
        <w:rPr>
          <w:noProof/>
        </w:rPr>
        <w:t>Feedback from roll-out</w:t>
      </w:r>
      <w:r>
        <w:rPr>
          <w:noProof/>
        </w:rPr>
        <w:tab/>
      </w:r>
      <w:r>
        <w:rPr>
          <w:noProof/>
        </w:rPr>
        <w:fldChar w:fldCharType="begin"/>
      </w:r>
      <w:r>
        <w:rPr>
          <w:noProof/>
        </w:rPr>
        <w:instrText xml:space="preserve"> PAGEREF _Toc205256426 \h </w:instrText>
      </w:r>
      <w:r>
        <w:rPr>
          <w:noProof/>
        </w:rPr>
      </w:r>
      <w:r>
        <w:rPr>
          <w:noProof/>
        </w:rPr>
        <w:fldChar w:fldCharType="separate"/>
      </w:r>
      <w:r>
        <w:rPr>
          <w:noProof/>
        </w:rPr>
        <w:t>3</w:t>
      </w:r>
      <w:r>
        <w:rPr>
          <w:noProof/>
        </w:rPr>
        <w:fldChar w:fldCharType="end"/>
      </w:r>
    </w:p>
    <w:p w14:paraId="09F86C73" w14:textId="77777777" w:rsidR="009451CF" w:rsidRDefault="009451CF">
      <w:pPr>
        <w:pStyle w:val="TOC2"/>
        <w:tabs>
          <w:tab w:val="right" w:leader="dot" w:pos="8630"/>
        </w:tabs>
        <w:rPr>
          <w:noProof/>
          <w:lang w:eastAsia="ja-JP"/>
        </w:rPr>
      </w:pPr>
      <w:r>
        <w:rPr>
          <w:noProof/>
        </w:rPr>
        <w:t>Index Website analytics</w:t>
      </w:r>
      <w:r>
        <w:rPr>
          <w:noProof/>
        </w:rPr>
        <w:tab/>
      </w:r>
      <w:r>
        <w:rPr>
          <w:noProof/>
        </w:rPr>
        <w:fldChar w:fldCharType="begin"/>
      </w:r>
      <w:r>
        <w:rPr>
          <w:noProof/>
        </w:rPr>
        <w:instrText xml:space="preserve"> PAGEREF _Toc205256427 \h </w:instrText>
      </w:r>
      <w:r>
        <w:rPr>
          <w:noProof/>
        </w:rPr>
      </w:r>
      <w:r>
        <w:rPr>
          <w:noProof/>
        </w:rPr>
        <w:fldChar w:fldCharType="separate"/>
      </w:r>
      <w:r>
        <w:rPr>
          <w:noProof/>
        </w:rPr>
        <w:t>3</w:t>
      </w:r>
      <w:r>
        <w:rPr>
          <w:noProof/>
        </w:rPr>
        <w:fldChar w:fldCharType="end"/>
      </w:r>
    </w:p>
    <w:p w14:paraId="1A653B71" w14:textId="77777777" w:rsidR="009451CF" w:rsidRDefault="009451CF">
      <w:pPr>
        <w:pStyle w:val="TOC2"/>
        <w:tabs>
          <w:tab w:val="right" w:leader="dot" w:pos="8630"/>
        </w:tabs>
        <w:rPr>
          <w:noProof/>
          <w:lang w:eastAsia="ja-JP"/>
        </w:rPr>
      </w:pPr>
      <w:r>
        <w:rPr>
          <w:noProof/>
        </w:rPr>
        <w:t>Presentations</w:t>
      </w:r>
      <w:r>
        <w:rPr>
          <w:noProof/>
        </w:rPr>
        <w:tab/>
      </w:r>
      <w:r>
        <w:rPr>
          <w:noProof/>
        </w:rPr>
        <w:fldChar w:fldCharType="begin"/>
      </w:r>
      <w:r>
        <w:rPr>
          <w:noProof/>
        </w:rPr>
        <w:instrText xml:space="preserve"> PAGEREF _Toc205256428 \h </w:instrText>
      </w:r>
      <w:r>
        <w:rPr>
          <w:noProof/>
        </w:rPr>
      </w:r>
      <w:r>
        <w:rPr>
          <w:noProof/>
        </w:rPr>
        <w:fldChar w:fldCharType="separate"/>
      </w:r>
      <w:r>
        <w:rPr>
          <w:noProof/>
        </w:rPr>
        <w:t>5</w:t>
      </w:r>
      <w:r>
        <w:rPr>
          <w:noProof/>
        </w:rPr>
        <w:fldChar w:fldCharType="end"/>
      </w:r>
    </w:p>
    <w:p w14:paraId="38A6125A" w14:textId="77777777" w:rsidR="009451CF" w:rsidRDefault="009451CF">
      <w:pPr>
        <w:pStyle w:val="TOC2"/>
        <w:tabs>
          <w:tab w:val="right" w:leader="dot" w:pos="8630"/>
        </w:tabs>
        <w:rPr>
          <w:noProof/>
          <w:lang w:eastAsia="ja-JP"/>
        </w:rPr>
      </w:pPr>
      <w:r>
        <w:rPr>
          <w:noProof/>
        </w:rPr>
        <w:t>Email and personal Feedback</w:t>
      </w:r>
      <w:r>
        <w:rPr>
          <w:noProof/>
        </w:rPr>
        <w:tab/>
      </w:r>
      <w:r>
        <w:rPr>
          <w:noProof/>
        </w:rPr>
        <w:fldChar w:fldCharType="begin"/>
      </w:r>
      <w:r>
        <w:rPr>
          <w:noProof/>
        </w:rPr>
        <w:instrText xml:space="preserve"> PAGEREF _Toc205256429 \h </w:instrText>
      </w:r>
      <w:r>
        <w:rPr>
          <w:noProof/>
        </w:rPr>
      </w:r>
      <w:r>
        <w:rPr>
          <w:noProof/>
        </w:rPr>
        <w:fldChar w:fldCharType="separate"/>
      </w:r>
      <w:r>
        <w:rPr>
          <w:noProof/>
        </w:rPr>
        <w:t>6</w:t>
      </w:r>
      <w:r>
        <w:rPr>
          <w:noProof/>
        </w:rPr>
        <w:fldChar w:fldCharType="end"/>
      </w:r>
    </w:p>
    <w:p w14:paraId="561AD84B" w14:textId="77777777" w:rsidR="009451CF" w:rsidRDefault="009451CF">
      <w:pPr>
        <w:pStyle w:val="TOC1"/>
        <w:tabs>
          <w:tab w:val="right" w:leader="dot" w:pos="8630"/>
        </w:tabs>
        <w:rPr>
          <w:noProof/>
          <w:lang w:eastAsia="ja-JP"/>
        </w:rPr>
      </w:pPr>
      <w:r>
        <w:rPr>
          <w:noProof/>
        </w:rPr>
        <w:t>GAIN Nomenclature of Versions</w:t>
      </w:r>
      <w:r>
        <w:rPr>
          <w:noProof/>
        </w:rPr>
        <w:tab/>
      </w:r>
      <w:r>
        <w:rPr>
          <w:noProof/>
        </w:rPr>
        <w:fldChar w:fldCharType="begin"/>
      </w:r>
      <w:r>
        <w:rPr>
          <w:noProof/>
        </w:rPr>
        <w:instrText xml:space="preserve"> PAGEREF _Toc205256430 \h </w:instrText>
      </w:r>
      <w:r>
        <w:rPr>
          <w:noProof/>
        </w:rPr>
      </w:r>
      <w:r>
        <w:rPr>
          <w:noProof/>
        </w:rPr>
        <w:fldChar w:fldCharType="separate"/>
      </w:r>
      <w:r>
        <w:rPr>
          <w:noProof/>
        </w:rPr>
        <w:t>7</w:t>
      </w:r>
      <w:r>
        <w:rPr>
          <w:noProof/>
        </w:rPr>
        <w:fldChar w:fldCharType="end"/>
      </w:r>
    </w:p>
    <w:p w14:paraId="5EE887AA" w14:textId="77777777" w:rsidR="009451CF" w:rsidRDefault="009451CF">
      <w:pPr>
        <w:pStyle w:val="TOC1"/>
        <w:tabs>
          <w:tab w:val="right" w:leader="dot" w:pos="8630"/>
        </w:tabs>
        <w:rPr>
          <w:noProof/>
          <w:lang w:eastAsia="ja-JP"/>
        </w:rPr>
      </w:pPr>
      <w:r>
        <w:rPr>
          <w:noProof/>
        </w:rPr>
        <w:t>GAIN 2011 Legacy</w:t>
      </w:r>
      <w:r>
        <w:rPr>
          <w:noProof/>
        </w:rPr>
        <w:tab/>
      </w:r>
      <w:r>
        <w:rPr>
          <w:noProof/>
        </w:rPr>
        <w:fldChar w:fldCharType="begin"/>
      </w:r>
      <w:r>
        <w:rPr>
          <w:noProof/>
        </w:rPr>
        <w:instrText xml:space="preserve"> PAGEREF _Toc205256431 \h </w:instrText>
      </w:r>
      <w:r>
        <w:rPr>
          <w:noProof/>
        </w:rPr>
      </w:r>
      <w:r>
        <w:rPr>
          <w:noProof/>
        </w:rPr>
        <w:fldChar w:fldCharType="separate"/>
      </w:r>
      <w:r>
        <w:rPr>
          <w:noProof/>
        </w:rPr>
        <w:t>7</w:t>
      </w:r>
      <w:r>
        <w:rPr>
          <w:noProof/>
        </w:rPr>
        <w:fldChar w:fldCharType="end"/>
      </w:r>
    </w:p>
    <w:p w14:paraId="19A97D78" w14:textId="77777777" w:rsidR="009451CF" w:rsidRDefault="009451CF">
      <w:pPr>
        <w:pStyle w:val="TOC1"/>
        <w:tabs>
          <w:tab w:val="right" w:leader="dot" w:pos="8630"/>
        </w:tabs>
        <w:rPr>
          <w:noProof/>
          <w:lang w:eastAsia="ja-JP"/>
        </w:rPr>
      </w:pPr>
      <w:r>
        <w:rPr>
          <w:noProof/>
        </w:rPr>
        <w:t>GAIN 2012 Update</w:t>
      </w:r>
      <w:r>
        <w:rPr>
          <w:noProof/>
        </w:rPr>
        <w:tab/>
      </w:r>
      <w:r>
        <w:rPr>
          <w:noProof/>
        </w:rPr>
        <w:fldChar w:fldCharType="begin"/>
      </w:r>
      <w:r>
        <w:rPr>
          <w:noProof/>
        </w:rPr>
        <w:instrText xml:space="preserve"> PAGEREF _Toc205256432 \h </w:instrText>
      </w:r>
      <w:r>
        <w:rPr>
          <w:noProof/>
        </w:rPr>
      </w:r>
      <w:r>
        <w:rPr>
          <w:noProof/>
        </w:rPr>
        <w:fldChar w:fldCharType="separate"/>
      </w:r>
      <w:r>
        <w:rPr>
          <w:noProof/>
        </w:rPr>
        <w:t>7</w:t>
      </w:r>
      <w:r>
        <w:rPr>
          <w:noProof/>
        </w:rPr>
        <w:fldChar w:fldCharType="end"/>
      </w:r>
    </w:p>
    <w:p w14:paraId="163F2FF9" w14:textId="77777777" w:rsidR="009451CF" w:rsidRDefault="009451CF">
      <w:pPr>
        <w:pStyle w:val="TOC2"/>
        <w:tabs>
          <w:tab w:val="right" w:leader="dot" w:pos="8630"/>
        </w:tabs>
        <w:rPr>
          <w:noProof/>
          <w:lang w:eastAsia="ja-JP"/>
        </w:rPr>
      </w:pPr>
      <w:r>
        <w:rPr>
          <w:noProof/>
        </w:rPr>
        <w:t>Changes in the code</w:t>
      </w:r>
      <w:r>
        <w:rPr>
          <w:noProof/>
        </w:rPr>
        <w:tab/>
      </w:r>
      <w:r>
        <w:rPr>
          <w:noProof/>
        </w:rPr>
        <w:fldChar w:fldCharType="begin"/>
      </w:r>
      <w:r>
        <w:rPr>
          <w:noProof/>
        </w:rPr>
        <w:instrText xml:space="preserve"> PAGEREF _Toc205256433 \h </w:instrText>
      </w:r>
      <w:r>
        <w:rPr>
          <w:noProof/>
        </w:rPr>
      </w:r>
      <w:r>
        <w:rPr>
          <w:noProof/>
        </w:rPr>
        <w:fldChar w:fldCharType="separate"/>
      </w:r>
      <w:r>
        <w:rPr>
          <w:noProof/>
        </w:rPr>
        <w:t>8</w:t>
      </w:r>
      <w:r>
        <w:rPr>
          <w:noProof/>
        </w:rPr>
        <w:fldChar w:fldCharType="end"/>
      </w:r>
    </w:p>
    <w:p w14:paraId="112032F6" w14:textId="77777777" w:rsidR="009451CF" w:rsidRDefault="009451CF">
      <w:pPr>
        <w:pStyle w:val="TOC2"/>
        <w:tabs>
          <w:tab w:val="right" w:leader="dot" w:pos="8630"/>
        </w:tabs>
        <w:rPr>
          <w:noProof/>
          <w:lang w:eastAsia="ja-JP"/>
        </w:rPr>
      </w:pPr>
      <w:r>
        <w:rPr>
          <w:noProof/>
        </w:rPr>
        <w:t>Updates on Individual Measures</w:t>
      </w:r>
      <w:r>
        <w:rPr>
          <w:noProof/>
        </w:rPr>
        <w:tab/>
      </w:r>
      <w:r>
        <w:rPr>
          <w:noProof/>
        </w:rPr>
        <w:fldChar w:fldCharType="begin"/>
      </w:r>
      <w:r>
        <w:rPr>
          <w:noProof/>
        </w:rPr>
        <w:instrText xml:space="preserve"> PAGEREF _Toc205256434 \h </w:instrText>
      </w:r>
      <w:r>
        <w:rPr>
          <w:noProof/>
        </w:rPr>
      </w:r>
      <w:r>
        <w:rPr>
          <w:noProof/>
        </w:rPr>
        <w:fldChar w:fldCharType="separate"/>
      </w:r>
      <w:r>
        <w:rPr>
          <w:noProof/>
        </w:rPr>
        <w:t>8</w:t>
      </w:r>
      <w:r>
        <w:rPr>
          <w:noProof/>
        </w:rPr>
        <w:fldChar w:fldCharType="end"/>
      </w:r>
    </w:p>
    <w:p w14:paraId="1B4FB021" w14:textId="77777777" w:rsidR="009451CF" w:rsidRDefault="009451CF">
      <w:pPr>
        <w:pStyle w:val="TOC2"/>
        <w:tabs>
          <w:tab w:val="right" w:leader="dot" w:pos="8630"/>
        </w:tabs>
        <w:rPr>
          <w:noProof/>
          <w:lang w:eastAsia="ja-JP"/>
        </w:rPr>
      </w:pPr>
      <w:r>
        <w:rPr>
          <w:noProof/>
        </w:rPr>
        <w:t>Re-sourced data</w:t>
      </w:r>
      <w:r>
        <w:rPr>
          <w:noProof/>
        </w:rPr>
        <w:tab/>
      </w:r>
      <w:r>
        <w:rPr>
          <w:noProof/>
        </w:rPr>
        <w:fldChar w:fldCharType="begin"/>
      </w:r>
      <w:r>
        <w:rPr>
          <w:noProof/>
        </w:rPr>
        <w:instrText xml:space="preserve"> PAGEREF _Toc205256435 \h </w:instrText>
      </w:r>
      <w:r>
        <w:rPr>
          <w:noProof/>
        </w:rPr>
      </w:r>
      <w:r>
        <w:rPr>
          <w:noProof/>
        </w:rPr>
        <w:fldChar w:fldCharType="separate"/>
      </w:r>
      <w:r>
        <w:rPr>
          <w:noProof/>
        </w:rPr>
        <w:t>9</w:t>
      </w:r>
      <w:r>
        <w:rPr>
          <w:noProof/>
        </w:rPr>
        <w:fldChar w:fldCharType="end"/>
      </w:r>
    </w:p>
    <w:p w14:paraId="5B24B4A2" w14:textId="77777777" w:rsidR="009451CF" w:rsidRDefault="009451CF">
      <w:pPr>
        <w:pStyle w:val="TOC3"/>
        <w:tabs>
          <w:tab w:val="right" w:leader="dot" w:pos="8630"/>
        </w:tabs>
        <w:rPr>
          <w:noProof/>
          <w:lang w:eastAsia="ja-JP"/>
        </w:rPr>
      </w:pPr>
      <w:r>
        <w:rPr>
          <w:noProof/>
        </w:rPr>
        <w:t>Tolerance for missing numbers</w:t>
      </w:r>
      <w:r>
        <w:rPr>
          <w:noProof/>
        </w:rPr>
        <w:tab/>
      </w:r>
      <w:r>
        <w:rPr>
          <w:noProof/>
        </w:rPr>
        <w:fldChar w:fldCharType="begin"/>
      </w:r>
      <w:r>
        <w:rPr>
          <w:noProof/>
        </w:rPr>
        <w:instrText xml:space="preserve"> PAGEREF _Toc205256436 \h </w:instrText>
      </w:r>
      <w:r>
        <w:rPr>
          <w:noProof/>
        </w:rPr>
      </w:r>
      <w:r>
        <w:rPr>
          <w:noProof/>
        </w:rPr>
        <w:fldChar w:fldCharType="separate"/>
      </w:r>
      <w:r>
        <w:rPr>
          <w:noProof/>
        </w:rPr>
        <w:t>9</w:t>
      </w:r>
      <w:r>
        <w:rPr>
          <w:noProof/>
        </w:rPr>
        <w:fldChar w:fldCharType="end"/>
      </w:r>
    </w:p>
    <w:p w14:paraId="2A32921B" w14:textId="77777777" w:rsidR="009451CF" w:rsidRDefault="009451CF">
      <w:pPr>
        <w:pStyle w:val="TOC2"/>
        <w:tabs>
          <w:tab w:val="right" w:leader="dot" w:pos="8630"/>
        </w:tabs>
        <w:rPr>
          <w:noProof/>
          <w:lang w:eastAsia="ja-JP"/>
        </w:rPr>
      </w:pPr>
      <w:r>
        <w:rPr>
          <w:noProof/>
        </w:rPr>
        <w:t>Preliminary Ranking</w:t>
      </w:r>
      <w:r>
        <w:rPr>
          <w:noProof/>
        </w:rPr>
        <w:tab/>
      </w:r>
      <w:r>
        <w:rPr>
          <w:noProof/>
        </w:rPr>
        <w:fldChar w:fldCharType="begin"/>
      </w:r>
      <w:r>
        <w:rPr>
          <w:noProof/>
        </w:rPr>
        <w:instrText xml:space="preserve"> PAGEREF _Toc205256437 \h </w:instrText>
      </w:r>
      <w:r>
        <w:rPr>
          <w:noProof/>
        </w:rPr>
      </w:r>
      <w:r>
        <w:rPr>
          <w:noProof/>
        </w:rPr>
        <w:fldChar w:fldCharType="separate"/>
      </w:r>
      <w:r>
        <w:rPr>
          <w:noProof/>
        </w:rPr>
        <w:t>10</w:t>
      </w:r>
      <w:r>
        <w:rPr>
          <w:noProof/>
        </w:rPr>
        <w:fldChar w:fldCharType="end"/>
      </w:r>
    </w:p>
    <w:p w14:paraId="711BD4D2" w14:textId="77777777" w:rsidR="009451CF" w:rsidRDefault="009451CF">
      <w:pPr>
        <w:pStyle w:val="TOC2"/>
        <w:tabs>
          <w:tab w:val="right" w:leader="dot" w:pos="8630"/>
        </w:tabs>
        <w:rPr>
          <w:noProof/>
          <w:lang w:eastAsia="ja-JP"/>
        </w:rPr>
      </w:pPr>
      <w:r>
        <w:rPr>
          <w:noProof/>
        </w:rPr>
        <w:t>Differences in the Score for 2010</w:t>
      </w:r>
      <w:r>
        <w:rPr>
          <w:noProof/>
        </w:rPr>
        <w:tab/>
      </w:r>
      <w:r>
        <w:rPr>
          <w:noProof/>
        </w:rPr>
        <w:fldChar w:fldCharType="begin"/>
      </w:r>
      <w:r>
        <w:rPr>
          <w:noProof/>
        </w:rPr>
        <w:instrText xml:space="preserve"> PAGEREF _Toc205256438 \h </w:instrText>
      </w:r>
      <w:r>
        <w:rPr>
          <w:noProof/>
        </w:rPr>
      </w:r>
      <w:r>
        <w:rPr>
          <w:noProof/>
        </w:rPr>
        <w:fldChar w:fldCharType="separate"/>
      </w:r>
      <w:r>
        <w:rPr>
          <w:noProof/>
        </w:rPr>
        <w:t>12</w:t>
      </w:r>
      <w:r>
        <w:rPr>
          <w:noProof/>
        </w:rPr>
        <w:fldChar w:fldCharType="end"/>
      </w:r>
    </w:p>
    <w:p w14:paraId="53C07346" w14:textId="77777777" w:rsidR="009451CF" w:rsidRDefault="009451CF">
      <w:pPr>
        <w:pStyle w:val="TOC1"/>
        <w:tabs>
          <w:tab w:val="right" w:leader="dot" w:pos="8630"/>
        </w:tabs>
        <w:rPr>
          <w:noProof/>
          <w:lang w:eastAsia="ja-JP"/>
        </w:rPr>
      </w:pPr>
      <w:r>
        <w:rPr>
          <w:noProof/>
        </w:rPr>
        <w:t>GAIN 2012 Upgrade</w:t>
      </w:r>
      <w:r>
        <w:rPr>
          <w:noProof/>
        </w:rPr>
        <w:tab/>
      </w:r>
      <w:r>
        <w:rPr>
          <w:noProof/>
        </w:rPr>
        <w:fldChar w:fldCharType="begin"/>
      </w:r>
      <w:r>
        <w:rPr>
          <w:noProof/>
        </w:rPr>
        <w:instrText xml:space="preserve"> PAGEREF _Toc205256439 \h </w:instrText>
      </w:r>
      <w:r>
        <w:rPr>
          <w:noProof/>
        </w:rPr>
      </w:r>
      <w:r>
        <w:rPr>
          <w:noProof/>
        </w:rPr>
        <w:fldChar w:fldCharType="separate"/>
      </w:r>
      <w:r>
        <w:rPr>
          <w:noProof/>
        </w:rPr>
        <w:t>12</w:t>
      </w:r>
      <w:r>
        <w:rPr>
          <w:noProof/>
        </w:rPr>
        <w:fldChar w:fldCharType="end"/>
      </w:r>
    </w:p>
    <w:p w14:paraId="19132F5B" w14:textId="77777777" w:rsidR="009451CF" w:rsidRDefault="009451CF">
      <w:pPr>
        <w:pStyle w:val="TOC1"/>
        <w:tabs>
          <w:tab w:val="right" w:leader="dot" w:pos="8630"/>
        </w:tabs>
        <w:rPr>
          <w:noProof/>
          <w:lang w:eastAsia="ja-JP"/>
        </w:rPr>
      </w:pPr>
      <w:r>
        <w:rPr>
          <w:noProof/>
        </w:rPr>
        <w:t>Specific Open Issues</w:t>
      </w:r>
      <w:r>
        <w:rPr>
          <w:noProof/>
        </w:rPr>
        <w:tab/>
      </w:r>
      <w:r>
        <w:rPr>
          <w:noProof/>
        </w:rPr>
        <w:fldChar w:fldCharType="begin"/>
      </w:r>
      <w:r>
        <w:rPr>
          <w:noProof/>
        </w:rPr>
        <w:instrText xml:space="preserve"> PAGEREF _Toc205256440 \h </w:instrText>
      </w:r>
      <w:r>
        <w:rPr>
          <w:noProof/>
        </w:rPr>
      </w:r>
      <w:r>
        <w:rPr>
          <w:noProof/>
        </w:rPr>
        <w:fldChar w:fldCharType="separate"/>
      </w:r>
      <w:r>
        <w:rPr>
          <w:noProof/>
        </w:rPr>
        <w:t>13</w:t>
      </w:r>
      <w:r>
        <w:rPr>
          <w:noProof/>
        </w:rPr>
        <w:fldChar w:fldCharType="end"/>
      </w:r>
    </w:p>
    <w:p w14:paraId="100C7141" w14:textId="77777777" w:rsidR="009451CF" w:rsidRDefault="009451CF">
      <w:pPr>
        <w:pStyle w:val="TOC2"/>
        <w:tabs>
          <w:tab w:val="right" w:leader="dot" w:pos="8630"/>
        </w:tabs>
        <w:rPr>
          <w:noProof/>
          <w:lang w:eastAsia="ja-JP"/>
        </w:rPr>
      </w:pPr>
      <w:r>
        <w:rPr>
          <w:noProof/>
        </w:rPr>
        <w:t>Website update-upgrade</w:t>
      </w:r>
      <w:r>
        <w:rPr>
          <w:noProof/>
        </w:rPr>
        <w:tab/>
      </w:r>
      <w:r>
        <w:rPr>
          <w:noProof/>
        </w:rPr>
        <w:fldChar w:fldCharType="begin"/>
      </w:r>
      <w:r>
        <w:rPr>
          <w:noProof/>
        </w:rPr>
        <w:instrText xml:space="preserve"> PAGEREF _Toc205256441 \h </w:instrText>
      </w:r>
      <w:r>
        <w:rPr>
          <w:noProof/>
        </w:rPr>
      </w:r>
      <w:r>
        <w:rPr>
          <w:noProof/>
        </w:rPr>
        <w:fldChar w:fldCharType="separate"/>
      </w:r>
      <w:r>
        <w:rPr>
          <w:noProof/>
        </w:rPr>
        <w:t>13</w:t>
      </w:r>
      <w:r>
        <w:rPr>
          <w:noProof/>
        </w:rPr>
        <w:fldChar w:fldCharType="end"/>
      </w:r>
    </w:p>
    <w:p w14:paraId="4861911F" w14:textId="77777777" w:rsidR="009451CF" w:rsidRDefault="009451CF">
      <w:pPr>
        <w:pStyle w:val="TOC2"/>
        <w:tabs>
          <w:tab w:val="right" w:leader="dot" w:pos="8630"/>
        </w:tabs>
        <w:rPr>
          <w:noProof/>
          <w:lang w:eastAsia="ja-JP"/>
        </w:rPr>
      </w:pPr>
      <w:r>
        <w:rPr>
          <w:noProof/>
        </w:rPr>
        <w:t>Readiness Axis</w:t>
      </w:r>
      <w:r>
        <w:rPr>
          <w:noProof/>
        </w:rPr>
        <w:tab/>
      </w:r>
      <w:r>
        <w:rPr>
          <w:noProof/>
        </w:rPr>
        <w:fldChar w:fldCharType="begin"/>
      </w:r>
      <w:r>
        <w:rPr>
          <w:noProof/>
        </w:rPr>
        <w:instrText xml:space="preserve"> PAGEREF _Toc205256442 \h </w:instrText>
      </w:r>
      <w:r>
        <w:rPr>
          <w:noProof/>
        </w:rPr>
      </w:r>
      <w:r>
        <w:rPr>
          <w:noProof/>
        </w:rPr>
        <w:fldChar w:fldCharType="separate"/>
      </w:r>
      <w:r>
        <w:rPr>
          <w:noProof/>
        </w:rPr>
        <w:t>13</w:t>
      </w:r>
      <w:r>
        <w:rPr>
          <w:noProof/>
        </w:rPr>
        <w:fldChar w:fldCharType="end"/>
      </w:r>
    </w:p>
    <w:p w14:paraId="6209292D" w14:textId="77777777" w:rsidR="009451CF" w:rsidRDefault="009451CF">
      <w:pPr>
        <w:pStyle w:val="TOC2"/>
        <w:tabs>
          <w:tab w:val="right" w:leader="dot" w:pos="8630"/>
        </w:tabs>
        <w:rPr>
          <w:noProof/>
          <w:lang w:eastAsia="ja-JP"/>
        </w:rPr>
      </w:pPr>
      <w:r>
        <w:rPr>
          <w:noProof/>
        </w:rPr>
        <w:t>To Do</w:t>
      </w:r>
      <w:r>
        <w:rPr>
          <w:noProof/>
        </w:rPr>
        <w:tab/>
      </w:r>
      <w:r>
        <w:rPr>
          <w:noProof/>
        </w:rPr>
        <w:fldChar w:fldCharType="begin"/>
      </w:r>
      <w:r>
        <w:rPr>
          <w:noProof/>
        </w:rPr>
        <w:instrText xml:space="preserve"> PAGEREF _Toc205256443 \h </w:instrText>
      </w:r>
      <w:r>
        <w:rPr>
          <w:noProof/>
        </w:rPr>
      </w:r>
      <w:r>
        <w:rPr>
          <w:noProof/>
        </w:rPr>
        <w:fldChar w:fldCharType="separate"/>
      </w:r>
      <w:r>
        <w:rPr>
          <w:noProof/>
        </w:rPr>
        <w:t>13</w:t>
      </w:r>
      <w:r>
        <w:rPr>
          <w:noProof/>
        </w:rPr>
        <w:fldChar w:fldCharType="end"/>
      </w:r>
    </w:p>
    <w:p w14:paraId="147D982A" w14:textId="77777777" w:rsidR="009451CF" w:rsidRDefault="009451CF">
      <w:pPr>
        <w:pStyle w:val="TOC1"/>
        <w:tabs>
          <w:tab w:val="right" w:leader="dot" w:pos="8630"/>
        </w:tabs>
        <w:rPr>
          <w:noProof/>
          <w:lang w:eastAsia="ja-JP"/>
        </w:rPr>
      </w:pPr>
      <w:r>
        <w:rPr>
          <w:noProof/>
        </w:rPr>
        <w:t>Next Steps</w:t>
      </w:r>
      <w:r>
        <w:rPr>
          <w:noProof/>
        </w:rPr>
        <w:tab/>
      </w:r>
      <w:r>
        <w:rPr>
          <w:noProof/>
        </w:rPr>
        <w:fldChar w:fldCharType="begin"/>
      </w:r>
      <w:r>
        <w:rPr>
          <w:noProof/>
        </w:rPr>
        <w:instrText xml:space="preserve"> PAGEREF _Toc205256444 \h </w:instrText>
      </w:r>
      <w:r>
        <w:rPr>
          <w:noProof/>
        </w:rPr>
      </w:r>
      <w:r>
        <w:rPr>
          <w:noProof/>
        </w:rPr>
        <w:fldChar w:fldCharType="separate"/>
      </w:r>
      <w:r>
        <w:rPr>
          <w:noProof/>
        </w:rPr>
        <w:t>14</w:t>
      </w:r>
      <w:r>
        <w:rPr>
          <w:noProof/>
        </w:rPr>
        <w:fldChar w:fldCharType="end"/>
      </w:r>
    </w:p>
    <w:p w14:paraId="3B9BE6EC" w14:textId="77777777" w:rsidR="002C4B27" w:rsidRDefault="006E57EF">
      <w:pPr>
        <w:rPr>
          <w:rFonts w:asciiTheme="majorHAnsi" w:eastAsiaTheme="majorEastAsia" w:hAnsiTheme="majorHAnsi" w:cstheme="majorBidi"/>
          <w:b/>
          <w:bCs/>
          <w:color w:val="345A8A" w:themeColor="accent1" w:themeShade="B5"/>
          <w:sz w:val="32"/>
          <w:szCs w:val="32"/>
        </w:rPr>
      </w:pPr>
      <w:r>
        <w:fldChar w:fldCharType="end"/>
      </w:r>
      <w:r w:rsidR="002C4B27">
        <w:br w:type="page"/>
      </w:r>
    </w:p>
    <w:p w14:paraId="232BF3E8" w14:textId="48393BC1" w:rsidR="001E338A" w:rsidRDefault="001E338A" w:rsidP="00B01FE2">
      <w:pPr>
        <w:pStyle w:val="Heading1"/>
      </w:pPr>
      <w:bookmarkStart w:id="2" w:name="_Toc205256426"/>
      <w:r w:rsidRPr="001E338A">
        <w:lastRenderedPageBreak/>
        <w:t>Feedback</w:t>
      </w:r>
      <w:r w:rsidR="00612AF9">
        <w:t xml:space="preserve"> from roll-out</w:t>
      </w:r>
      <w:bookmarkEnd w:id="2"/>
    </w:p>
    <w:p w14:paraId="64DB200F" w14:textId="56B62A03" w:rsidR="001E338A" w:rsidRDefault="00951CC7" w:rsidP="00B01FE2">
      <w:pPr>
        <w:pStyle w:val="Heading2"/>
      </w:pPr>
      <w:bookmarkStart w:id="3" w:name="_Toc205256427"/>
      <w:r>
        <w:t xml:space="preserve">Index </w:t>
      </w:r>
      <w:r w:rsidR="001E338A">
        <w:t>Website analytics</w:t>
      </w:r>
      <w:bookmarkEnd w:id="3"/>
    </w:p>
    <w:p w14:paraId="3D9571F6" w14:textId="31433D8E" w:rsidR="00542993" w:rsidRDefault="00542993" w:rsidP="00542993">
      <w:pPr>
        <w:jc w:val="both"/>
        <w:rPr>
          <w:bCs/>
        </w:rPr>
      </w:pPr>
      <w:r>
        <w:rPr>
          <w:bCs/>
        </w:rPr>
        <w:t xml:space="preserve">The Index </w:t>
      </w:r>
      <w:r w:rsidR="009451CF">
        <w:rPr>
          <w:bCs/>
        </w:rPr>
        <w:t xml:space="preserve">website </w:t>
      </w:r>
      <w:r>
        <w:rPr>
          <w:bCs/>
        </w:rPr>
        <w:t>has a Google Analytics tracking code, which provides a lower estimate</w:t>
      </w:r>
      <w:r>
        <w:rPr>
          <w:rStyle w:val="FootnoteReference"/>
          <w:bCs/>
        </w:rPr>
        <w:footnoteReference w:id="1"/>
      </w:r>
      <w:r>
        <w:rPr>
          <w:bCs/>
        </w:rPr>
        <w:t xml:space="preserve"> for visits, and includes important information such as e.g. navigation flow, time per visit or source of the visit. Visits from inside the Institute´s IP network are not counted.</w:t>
      </w:r>
    </w:p>
    <w:p w14:paraId="59E60460" w14:textId="77777777" w:rsidR="00542993" w:rsidRDefault="00542993" w:rsidP="00542993">
      <w:pPr>
        <w:jc w:val="both"/>
        <w:rPr>
          <w:bCs/>
        </w:rPr>
      </w:pPr>
    </w:p>
    <w:p w14:paraId="3971C0D5" w14:textId="5601F64A" w:rsidR="00542993" w:rsidRPr="00542993" w:rsidRDefault="001357D4" w:rsidP="00542993">
      <w:pPr>
        <w:jc w:val="both"/>
        <w:rPr>
          <w:rFonts w:eastAsia="Times New Roman" w:cs="Times New Roman"/>
          <w:bCs/>
          <w:color w:val="000000"/>
          <w:shd w:val="clear" w:color="auto" w:fill="FFFFFF"/>
        </w:rPr>
      </w:pPr>
      <w:r w:rsidRPr="001357D4">
        <w:rPr>
          <w:bCs/>
        </w:rPr>
        <w:t>In the last year (from launch until Jul 24</w:t>
      </w:r>
      <w:r w:rsidRPr="001357D4">
        <w:rPr>
          <w:bCs/>
          <w:vertAlign w:val="superscript"/>
        </w:rPr>
        <w:t>th</w:t>
      </w:r>
      <w:r w:rsidRPr="001357D4">
        <w:rPr>
          <w:bCs/>
        </w:rPr>
        <w:t xml:space="preserve">) </w:t>
      </w:r>
      <w:r w:rsidR="002D3059">
        <w:rPr>
          <w:bCs/>
        </w:rPr>
        <w:t>the GAIN Index web site</w:t>
      </w:r>
      <w:r w:rsidRPr="001357D4">
        <w:rPr>
          <w:bCs/>
        </w:rPr>
        <w:t xml:space="preserve"> ha</w:t>
      </w:r>
      <w:r w:rsidR="002D3059">
        <w:rPr>
          <w:bCs/>
        </w:rPr>
        <w:t xml:space="preserve">s </w:t>
      </w:r>
      <w:r w:rsidR="00A80353">
        <w:rPr>
          <w:bCs/>
        </w:rPr>
        <w:t>tracked</w:t>
      </w:r>
      <w:r w:rsidR="00A80353" w:rsidRPr="001357D4">
        <w:rPr>
          <w:bCs/>
        </w:rPr>
        <w:t xml:space="preserve"> </w:t>
      </w:r>
      <w:r w:rsidR="00951CC7" w:rsidRPr="001357D4">
        <w:rPr>
          <w:bCs/>
        </w:rPr>
        <w:t>85,463</w:t>
      </w:r>
      <w:r>
        <w:rPr>
          <w:bCs/>
        </w:rPr>
        <w:t xml:space="preserve"> P</w:t>
      </w:r>
      <w:r w:rsidRPr="001357D4">
        <w:rPr>
          <w:bCs/>
        </w:rPr>
        <w:t>age</w:t>
      </w:r>
      <w:r>
        <w:rPr>
          <w:bCs/>
        </w:rPr>
        <w:t xml:space="preserve"> </w:t>
      </w:r>
      <w:r w:rsidR="002D3059">
        <w:rPr>
          <w:bCs/>
        </w:rPr>
        <w:t>Views</w:t>
      </w:r>
      <w:r>
        <w:rPr>
          <w:bCs/>
        </w:rPr>
        <w:t>, with an a</w:t>
      </w:r>
      <w:r w:rsidR="00951CC7" w:rsidRPr="001357D4">
        <w:rPr>
          <w:rFonts w:eastAsia="Times New Roman" w:cs="Times New Roman"/>
          <w:bCs/>
          <w:color w:val="000000"/>
          <w:shd w:val="clear" w:color="auto" w:fill="FFFFFF"/>
        </w:rPr>
        <w:t>v</w:t>
      </w:r>
      <w:r>
        <w:rPr>
          <w:rFonts w:eastAsia="Times New Roman" w:cs="Times New Roman"/>
          <w:bCs/>
          <w:color w:val="000000"/>
          <w:shd w:val="clear" w:color="auto" w:fill="FFFFFF"/>
        </w:rPr>
        <w:t>era</w:t>
      </w:r>
      <w:r w:rsidR="00951CC7" w:rsidRPr="001357D4">
        <w:rPr>
          <w:rFonts w:eastAsia="Times New Roman" w:cs="Times New Roman"/>
          <w:bCs/>
          <w:color w:val="000000"/>
          <w:shd w:val="clear" w:color="auto" w:fill="FFFFFF"/>
        </w:rPr>
        <w:t>g</w:t>
      </w:r>
      <w:r>
        <w:rPr>
          <w:rFonts w:eastAsia="Times New Roman" w:cs="Times New Roman"/>
          <w:bCs/>
          <w:color w:val="000000"/>
          <w:shd w:val="clear" w:color="auto" w:fill="FFFFFF"/>
        </w:rPr>
        <w:t>e</w:t>
      </w:r>
      <w:r w:rsidR="00951CC7" w:rsidRPr="001357D4">
        <w:rPr>
          <w:rFonts w:eastAsia="Times New Roman" w:cs="Times New Roman"/>
          <w:bCs/>
          <w:color w:val="000000"/>
          <w:shd w:val="clear" w:color="auto" w:fill="FFFFFF"/>
        </w:rPr>
        <w:t xml:space="preserve"> </w:t>
      </w:r>
      <w:r>
        <w:rPr>
          <w:rFonts w:eastAsia="Times New Roman" w:cs="Times New Roman"/>
          <w:bCs/>
          <w:color w:val="000000"/>
          <w:shd w:val="clear" w:color="auto" w:fill="FFFFFF"/>
        </w:rPr>
        <w:t>v</w:t>
      </w:r>
      <w:r w:rsidR="00951CC7" w:rsidRPr="001357D4">
        <w:rPr>
          <w:rFonts w:eastAsia="Times New Roman" w:cs="Times New Roman"/>
          <w:bCs/>
          <w:color w:val="000000"/>
          <w:shd w:val="clear" w:color="auto" w:fill="FFFFFF"/>
        </w:rPr>
        <w:t xml:space="preserve">isit </w:t>
      </w:r>
      <w:r>
        <w:rPr>
          <w:rFonts w:eastAsia="Times New Roman" w:cs="Times New Roman"/>
          <w:bCs/>
          <w:color w:val="000000"/>
          <w:shd w:val="clear" w:color="auto" w:fill="FFFFFF"/>
        </w:rPr>
        <w:t>d</w:t>
      </w:r>
      <w:r w:rsidR="00951CC7" w:rsidRPr="001357D4">
        <w:rPr>
          <w:rFonts w:eastAsia="Times New Roman" w:cs="Times New Roman"/>
          <w:bCs/>
          <w:color w:val="000000"/>
          <w:shd w:val="clear" w:color="auto" w:fill="FFFFFF"/>
        </w:rPr>
        <w:t>uration</w:t>
      </w:r>
      <w:r>
        <w:rPr>
          <w:rFonts w:eastAsia="Times New Roman" w:cs="Times New Roman"/>
          <w:bCs/>
          <w:color w:val="000000"/>
          <w:shd w:val="clear" w:color="auto" w:fill="FFFFFF"/>
        </w:rPr>
        <w:t xml:space="preserve"> of</w:t>
      </w:r>
      <w:r w:rsidR="00951CC7" w:rsidRPr="001357D4">
        <w:rPr>
          <w:rFonts w:eastAsia="Times New Roman" w:cs="Times New Roman"/>
          <w:color w:val="000000"/>
          <w:shd w:val="clear" w:color="auto" w:fill="FFFFFF"/>
        </w:rPr>
        <w:t> </w:t>
      </w:r>
      <w:r w:rsidR="00951CC7" w:rsidRPr="001357D4">
        <w:rPr>
          <w:rFonts w:eastAsia="Times New Roman" w:cs="Times New Roman"/>
          <w:bCs/>
          <w:color w:val="000000"/>
          <w:shd w:val="clear" w:color="auto" w:fill="FFFFFF"/>
        </w:rPr>
        <w:t>04</w:t>
      </w:r>
      <w:r>
        <w:rPr>
          <w:rFonts w:eastAsia="Times New Roman" w:cs="Times New Roman"/>
          <w:bCs/>
          <w:color w:val="000000"/>
          <w:shd w:val="clear" w:color="auto" w:fill="FFFFFF"/>
        </w:rPr>
        <w:t>m</w:t>
      </w:r>
      <w:r w:rsidR="00605F5F">
        <w:rPr>
          <w:rFonts w:eastAsia="Times New Roman" w:cs="Times New Roman"/>
          <w:bCs/>
          <w:color w:val="000000"/>
          <w:shd w:val="clear" w:color="auto" w:fill="FFFFFF"/>
        </w:rPr>
        <w:t xml:space="preserve"> </w:t>
      </w:r>
      <w:r w:rsidR="00951CC7" w:rsidRPr="001357D4">
        <w:rPr>
          <w:rFonts w:eastAsia="Times New Roman" w:cs="Times New Roman"/>
          <w:bCs/>
          <w:color w:val="000000"/>
          <w:shd w:val="clear" w:color="auto" w:fill="FFFFFF"/>
        </w:rPr>
        <w:t>41</w:t>
      </w:r>
      <w:r>
        <w:rPr>
          <w:rFonts w:eastAsia="Times New Roman" w:cs="Times New Roman"/>
          <w:bCs/>
          <w:color w:val="000000"/>
          <w:shd w:val="clear" w:color="auto" w:fill="FFFFFF"/>
        </w:rPr>
        <w:t>s</w:t>
      </w:r>
      <w:r w:rsidR="00542993">
        <w:rPr>
          <w:rFonts w:eastAsia="Times New Roman" w:cs="Times New Roman"/>
          <w:bCs/>
          <w:color w:val="000000"/>
          <w:shd w:val="clear" w:color="auto" w:fill="FFFFFF"/>
        </w:rPr>
        <w:t xml:space="preserve"> and </w:t>
      </w:r>
      <w:r w:rsidR="00542993" w:rsidRPr="00542993">
        <w:rPr>
          <w:rFonts w:eastAsia="Times New Roman" w:cs="Times New Roman"/>
          <w:b/>
          <w:bCs/>
          <w:color w:val="000000"/>
          <w:shd w:val="clear" w:color="auto" w:fill="FFFFFF"/>
        </w:rPr>
        <w:t>2.90</w:t>
      </w:r>
    </w:p>
    <w:p w14:paraId="6D94BC94" w14:textId="42E236AF" w:rsidR="00542993" w:rsidRDefault="00542993" w:rsidP="001357D4">
      <w:pPr>
        <w:jc w:val="both"/>
        <w:rPr>
          <w:rFonts w:eastAsia="Times New Roman" w:cs="Times New Roman"/>
          <w:bCs/>
          <w:color w:val="000000"/>
          <w:shd w:val="clear" w:color="auto" w:fill="FFFFFF"/>
        </w:rPr>
      </w:pPr>
      <w:r>
        <w:rPr>
          <w:rFonts w:eastAsia="Times New Roman" w:cs="Times New Roman"/>
          <w:bCs/>
          <w:color w:val="000000"/>
          <w:shd w:val="clear" w:color="auto" w:fill="FFFFFF"/>
        </w:rPr>
        <w:t>Page views per visit. This means around 30.000 visits, of which at least 20.000 are tracked as unique visitors.</w:t>
      </w:r>
    </w:p>
    <w:p w14:paraId="7E1361EA" w14:textId="77777777" w:rsidR="00542993" w:rsidRDefault="00542993" w:rsidP="00542993">
      <w:pPr>
        <w:jc w:val="center"/>
        <w:rPr>
          <w:b/>
        </w:rPr>
      </w:pPr>
      <w:r w:rsidRPr="004D5DFA">
        <w:rPr>
          <w:b/>
        </w:rPr>
        <w:t>Visitor flow</w:t>
      </w:r>
    </w:p>
    <w:p w14:paraId="48A03A6E" w14:textId="77777777" w:rsidR="00542993" w:rsidRPr="004D5DFA" w:rsidRDefault="00542993" w:rsidP="00542993">
      <w:pPr>
        <w:jc w:val="center"/>
        <w:rPr>
          <w:b/>
        </w:rPr>
      </w:pPr>
    </w:p>
    <w:p w14:paraId="45EE6182" w14:textId="77777777" w:rsidR="00542993" w:rsidRDefault="00542993" w:rsidP="00542993">
      <w:pPr>
        <w:keepNext/>
        <w:jc w:val="both"/>
      </w:pPr>
      <w:r>
        <w:rPr>
          <w:noProof/>
        </w:rPr>
        <w:drawing>
          <wp:inline distT="0" distB="0" distL="0" distR="0" wp14:anchorId="0F13DD12" wp14:editId="0814A5A7">
            <wp:extent cx="5486400" cy="3996055"/>
            <wp:effectExtent l="0" t="0" r="0" b="0"/>
            <wp:docPr id="9" name="Picture 9" descr="Macintosh HD:Users:brunosan:Desktop:Screen Shot 2012-07-24 at 12.13.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brunosan:Desktop:Screen Shot 2012-07-24 at 12.13.36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996055"/>
                    </a:xfrm>
                    <a:prstGeom prst="rect">
                      <a:avLst/>
                    </a:prstGeom>
                    <a:noFill/>
                    <a:ln>
                      <a:noFill/>
                    </a:ln>
                  </pic:spPr>
                </pic:pic>
              </a:graphicData>
            </a:graphic>
          </wp:inline>
        </w:drawing>
      </w:r>
    </w:p>
    <w:p w14:paraId="651F8002" w14:textId="5F94CBAA" w:rsidR="00542993" w:rsidRDefault="00542993" w:rsidP="00542993">
      <w:pPr>
        <w:pStyle w:val="Caption"/>
        <w:jc w:val="both"/>
      </w:pPr>
      <w:r>
        <w:t xml:space="preserve">Figure </w:t>
      </w:r>
      <w:r>
        <w:fldChar w:fldCharType="begin"/>
      </w:r>
      <w:r>
        <w:instrText xml:space="preserve"> SEQ Figure \* ARABIC </w:instrText>
      </w:r>
      <w:r>
        <w:fldChar w:fldCharType="separate"/>
      </w:r>
      <w:r>
        <w:rPr>
          <w:noProof/>
        </w:rPr>
        <w:t>1</w:t>
      </w:r>
      <w:r>
        <w:rPr>
          <w:noProof/>
        </w:rPr>
        <w:fldChar w:fldCharType="end"/>
      </w:r>
      <w:r>
        <w:t xml:space="preserve"> - Visitor flow. From left to right, the first column is the breakdown by entry type (referral, direct, organic or from social networks), the following</w:t>
      </w:r>
      <w:r w:rsidR="00A80353">
        <w:t>s</w:t>
      </w:r>
      <w:r>
        <w:t xml:space="preserve"> break</w:t>
      </w:r>
      <w:r w:rsidR="00A80353">
        <w:t xml:space="preserve"> </w:t>
      </w:r>
      <w:r>
        <w:t>down the pages visited. Lines between columns connect visitors to create the thread of usage. Red lines represent dropouts, or the end of the visit. The highlighted connecting path corresponds to those users who visit the Ranking page on their first interaction on the site. Numbers below each green block correspond to visits towards this highlighted path, versus total views.</w:t>
      </w:r>
    </w:p>
    <w:p w14:paraId="047EA705" w14:textId="77777777" w:rsidR="00542993" w:rsidRDefault="00542993" w:rsidP="00542993">
      <w:pPr>
        <w:jc w:val="both"/>
      </w:pPr>
    </w:p>
    <w:p w14:paraId="09DA1993" w14:textId="0757C5E7" w:rsidR="00542993" w:rsidRDefault="00542993" w:rsidP="00542993">
      <w:pPr>
        <w:jc w:val="both"/>
      </w:pPr>
      <w:r>
        <w:t xml:space="preserve">From the visitor flow, we can read that the home page is the most visited page, and the biggest attractor is the Rankings.  </w:t>
      </w:r>
    </w:p>
    <w:p w14:paraId="4569D0AA" w14:textId="4D4FD881" w:rsidR="00951CC7" w:rsidRDefault="00951CC7" w:rsidP="001357D4">
      <w:pPr>
        <w:jc w:val="both"/>
        <w:rPr>
          <w:rFonts w:eastAsia="Times New Roman" w:cs="Times New Roman"/>
          <w:bCs/>
          <w:color w:val="000000"/>
          <w:shd w:val="clear" w:color="auto" w:fill="FFFFFF"/>
        </w:rPr>
      </w:pPr>
    </w:p>
    <w:p w14:paraId="1B17AD1B" w14:textId="09BE459C" w:rsidR="00542993" w:rsidRDefault="00542993" w:rsidP="00542993">
      <w:pPr>
        <w:jc w:val="both"/>
      </w:pPr>
      <w:r>
        <w:t>Removing the month of the launch, where we peaked 12.000 pageviews following the launch event , our baseline is roughly 1.000 pageviews/week with a steady 50% of new visitors per week.</w:t>
      </w:r>
    </w:p>
    <w:p w14:paraId="74E040BE" w14:textId="77777777" w:rsidR="00542993" w:rsidRDefault="00542993" w:rsidP="00542993">
      <w:pPr>
        <w:jc w:val="both"/>
      </w:pPr>
    </w:p>
    <w:p w14:paraId="7658A791" w14:textId="77777777" w:rsidR="00542993" w:rsidRDefault="00542993" w:rsidP="00542993">
      <w:pPr>
        <w:jc w:val="both"/>
      </w:pPr>
    </w:p>
    <w:p w14:paraId="42215FCF" w14:textId="77777777" w:rsidR="00542993" w:rsidRDefault="00542993" w:rsidP="00542993">
      <w:pPr>
        <w:keepNext/>
        <w:jc w:val="both"/>
      </w:pPr>
      <w:r>
        <w:rPr>
          <w:noProof/>
        </w:rPr>
        <w:drawing>
          <wp:inline distT="0" distB="0" distL="0" distR="0" wp14:anchorId="6DE1E621" wp14:editId="0E46745B">
            <wp:extent cx="5486400" cy="1508760"/>
            <wp:effectExtent l="0" t="0" r="0" b="0"/>
            <wp:docPr id="10" name="Picture 10" descr="Macintosh HD:Users:brunosan:Desktop:Screen Shot 2012-07-27 at 1.19.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unosan:Desktop:Screen Shot 2012-07-27 at 1.19.59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508760"/>
                    </a:xfrm>
                    <a:prstGeom prst="rect">
                      <a:avLst/>
                    </a:prstGeom>
                    <a:noFill/>
                    <a:ln>
                      <a:noFill/>
                    </a:ln>
                  </pic:spPr>
                </pic:pic>
              </a:graphicData>
            </a:graphic>
          </wp:inline>
        </w:drawing>
      </w:r>
    </w:p>
    <w:p w14:paraId="1565650A" w14:textId="77777777" w:rsidR="00542993" w:rsidRDefault="00542993" w:rsidP="00542993">
      <w:pPr>
        <w:pStyle w:val="Caption"/>
        <w:jc w:val="both"/>
      </w:pPr>
      <w:r>
        <w:t xml:space="preserve">Figure </w:t>
      </w:r>
      <w:r>
        <w:fldChar w:fldCharType="begin"/>
      </w:r>
      <w:r>
        <w:instrText xml:space="preserve"> SEQ Figure \* ARABIC </w:instrText>
      </w:r>
      <w:r>
        <w:fldChar w:fldCharType="separate"/>
      </w:r>
      <w:r>
        <w:rPr>
          <w:noProof/>
        </w:rPr>
        <w:t>2</w:t>
      </w:r>
      <w:r>
        <w:rPr>
          <w:noProof/>
        </w:rPr>
        <w:fldChar w:fldCharType="end"/>
      </w:r>
      <w:r>
        <w:t xml:space="preserve"> - Timeline of pageviews from October 2011 to July 2012 in dark blue, and faint blue for the percentage of new visits versus returning visitor.</w:t>
      </w:r>
    </w:p>
    <w:p w14:paraId="60AA22C5" w14:textId="77777777" w:rsidR="00542993" w:rsidRDefault="00542993" w:rsidP="001357D4">
      <w:pPr>
        <w:jc w:val="both"/>
        <w:rPr>
          <w:rFonts w:eastAsia="Times New Roman" w:cs="Times New Roman"/>
          <w:bCs/>
          <w:color w:val="000000"/>
          <w:shd w:val="clear" w:color="auto" w:fill="FFFFFF"/>
        </w:rPr>
      </w:pPr>
    </w:p>
    <w:p w14:paraId="79C589C4" w14:textId="638134CE" w:rsidR="00B06AD7" w:rsidRPr="001357D4" w:rsidRDefault="00542993" w:rsidP="001357D4">
      <w:pPr>
        <w:jc w:val="both"/>
        <w:rPr>
          <w:rFonts w:eastAsia="Times New Roman" w:cs="Times New Roman"/>
        </w:rPr>
      </w:pPr>
      <w:r>
        <w:rPr>
          <w:noProof/>
        </w:rPr>
        <w:drawing>
          <wp:inline distT="0" distB="0" distL="0" distR="0" wp14:anchorId="1BFEAADA" wp14:editId="4659735D">
            <wp:extent cx="5139267" cy="3234267"/>
            <wp:effectExtent l="0" t="0" r="17145" b="1714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F01387">
        <w:rPr>
          <w:noProof/>
        </w:rPr>
        <mc:AlternateContent>
          <mc:Choice Requires="wps">
            <w:drawing>
              <wp:anchor distT="0" distB="0" distL="114300" distR="114300" simplePos="0" relativeHeight="251660288" behindDoc="0" locked="0" layoutInCell="1" allowOverlap="1" wp14:anchorId="1A626BA4" wp14:editId="4CC8418D">
                <wp:simplePos x="0" y="0"/>
                <wp:positionH relativeFrom="column">
                  <wp:posOffset>0</wp:posOffset>
                </wp:positionH>
                <wp:positionV relativeFrom="paragraph">
                  <wp:posOffset>3338195</wp:posOffset>
                </wp:positionV>
                <wp:extent cx="5600700" cy="260985"/>
                <wp:effectExtent l="0" t="0" r="0" b="0"/>
                <wp:wrapThrough wrapText="bothSides">
                  <wp:wrapPolygon edited="0">
                    <wp:start x="0" y="0"/>
                    <wp:lineTo x="0"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56007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8E8A609" w14:textId="1A799BC4" w:rsidR="00AA1379" w:rsidRDefault="00AA1379" w:rsidP="00F01387">
                            <w:pPr>
                              <w:pStyle w:val="Caption"/>
                              <w:rPr>
                                <w:noProof/>
                              </w:rPr>
                            </w:pPr>
                            <w:r>
                              <w:t xml:space="preserve">Figure </w:t>
                            </w:r>
                            <w:r w:rsidR="00A80353">
                              <w:fldChar w:fldCharType="begin"/>
                            </w:r>
                            <w:r w:rsidR="00A80353">
                              <w:instrText xml:space="preserve"> SEQ Figure \* ARABIC </w:instrText>
                            </w:r>
                            <w:r w:rsidR="00A80353">
                              <w:fldChar w:fldCharType="separate"/>
                            </w:r>
                            <w:r>
                              <w:rPr>
                                <w:noProof/>
                              </w:rPr>
                              <w:t>1</w:t>
                            </w:r>
                            <w:r w:rsidR="00A80353">
                              <w:rPr>
                                <w:noProof/>
                              </w:rPr>
                              <w:fldChar w:fldCharType="end"/>
                            </w:r>
                            <w:r>
                              <w:t>- Breakdown of pageviews on index.gain.org from Sep 2011 to July 2012.</w:t>
                            </w:r>
                            <w:r w:rsidR="00542993">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left:0;text-align:left;margin-left:0;margin-top:262.85pt;width:441pt;height:20.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" stroked="f">
                <v:textbox style="mso-fit-shape-to-text:t" inset="0,0,0,0">
                  <w:txbxContent>
                    <w:p w14:paraId="48E8A609" w14:textId="1A799BC4" w:rsidR="00AA1379" w:rsidRDefault="00AA1379" w:rsidP="00F01387">
                      <w:pPr>
                        <w:pStyle w:val="Caption"/>
                        <w:rPr>
                          <w:noProof/>
                        </w:rPr>
                      </w:pPr>
                      <w:r>
                        <w:t xml:space="preserve">Figure </w:t>
                      </w:r>
                      <w:r w:rsidR="00A80353">
                        <w:fldChar w:fldCharType="begin"/>
                      </w:r>
                      <w:r w:rsidR="00A80353">
                        <w:instrText xml:space="preserve"> SEQ Figure \* ARABIC </w:instrText>
                      </w:r>
                      <w:r w:rsidR="00A80353">
                        <w:fldChar w:fldCharType="separate"/>
                      </w:r>
                      <w:r>
                        <w:rPr>
                          <w:noProof/>
                        </w:rPr>
                        <w:t>1</w:t>
                      </w:r>
                      <w:r w:rsidR="00A80353">
                        <w:rPr>
                          <w:noProof/>
                        </w:rPr>
                        <w:fldChar w:fldCharType="end"/>
                      </w:r>
                      <w:r>
                        <w:t>- Breakdown of pageviews on index.gain.org from Sep 2011 to July 2012.</w:t>
                      </w:r>
                      <w:r w:rsidR="00542993">
                        <w:t xml:space="preserve"> </w:t>
                      </w:r>
                    </w:p>
                  </w:txbxContent>
                </v:textbox>
                <w10:wrap type="through"/>
              </v:shape>
            </w:pict>
          </mc:Fallback>
        </mc:AlternateContent>
      </w:r>
    </w:p>
    <w:p w14:paraId="0776F535" w14:textId="77777777" w:rsidR="00102A38" w:rsidRPr="001357D4" w:rsidRDefault="00102A38" w:rsidP="00102A38">
      <w:pPr>
        <w:jc w:val="both"/>
      </w:pPr>
    </w:p>
    <w:p w14:paraId="79A9B7DC" w14:textId="77777777" w:rsidR="00102A38" w:rsidRPr="001357D4" w:rsidRDefault="00102A38" w:rsidP="00102A38">
      <w:pPr>
        <w:jc w:val="both"/>
      </w:pPr>
    </w:p>
    <w:p w14:paraId="7EFF694E" w14:textId="34017CBC" w:rsidR="002C4B27" w:rsidRDefault="002C4B27" w:rsidP="00102A38">
      <w:pPr>
        <w:jc w:val="both"/>
      </w:pPr>
      <w:r>
        <w:t xml:space="preserve">Most of the views </w:t>
      </w:r>
      <w:r w:rsidR="00605F5F">
        <w:t>are of</w:t>
      </w:r>
      <w:r>
        <w:t xml:space="preserve"> the front page, which is also the most common landing page</w:t>
      </w:r>
      <w:r w:rsidR="00542993">
        <w:t>, as we can also see on the flow chart</w:t>
      </w:r>
      <w:r>
        <w:t xml:space="preserve">. The </w:t>
      </w:r>
      <w:r w:rsidR="00605F5F">
        <w:t xml:space="preserve">GAIN Index </w:t>
      </w:r>
      <w:r>
        <w:t>Ranking</w:t>
      </w:r>
      <w:r w:rsidR="00605F5F">
        <w:t>s</w:t>
      </w:r>
      <w:r>
        <w:t xml:space="preserve"> </w:t>
      </w:r>
      <w:r w:rsidR="00605F5F">
        <w:t>page is</w:t>
      </w:r>
      <w:r>
        <w:t xml:space="preserve"> the second most visited</w:t>
      </w:r>
      <w:r w:rsidR="00B31806">
        <w:t xml:space="preserve"> (12%)</w:t>
      </w:r>
      <w:r>
        <w:t>, which confirms its importance</w:t>
      </w:r>
      <w:r w:rsidR="00605F5F">
        <w:t xml:space="preserve"> (i.e.</w:t>
      </w:r>
      <w:r>
        <w:t xml:space="preserve"> </w:t>
      </w:r>
      <w:r w:rsidR="00605F5F">
        <w:t>u</w:t>
      </w:r>
      <w:r>
        <w:t xml:space="preserve">sers are twice </w:t>
      </w:r>
      <w:r w:rsidR="00605F5F">
        <w:t xml:space="preserve">as </w:t>
      </w:r>
      <w:r>
        <w:t xml:space="preserve">interested in </w:t>
      </w:r>
      <w:r w:rsidR="00605F5F">
        <w:t xml:space="preserve">viewing </w:t>
      </w:r>
      <w:r>
        <w:t xml:space="preserve">the Rankings </w:t>
      </w:r>
      <w:r w:rsidR="00605F5F">
        <w:t>compared to the</w:t>
      </w:r>
      <w:r>
        <w:t xml:space="preserve"> Methodology</w:t>
      </w:r>
      <w:r w:rsidR="00B31806">
        <w:t xml:space="preserve"> (5%)</w:t>
      </w:r>
      <w:r w:rsidR="00605F5F">
        <w:t>)</w:t>
      </w:r>
      <w:r>
        <w:t xml:space="preserve">. </w:t>
      </w:r>
    </w:p>
    <w:p w14:paraId="2777D53E" w14:textId="77777777" w:rsidR="002C4B27" w:rsidRDefault="002C4B27" w:rsidP="00102A38">
      <w:pPr>
        <w:jc w:val="both"/>
      </w:pPr>
    </w:p>
    <w:p w14:paraId="5AC99407" w14:textId="77777777" w:rsidR="00F01387" w:rsidRDefault="00FA7739" w:rsidP="00F01387">
      <w:pPr>
        <w:keepNext/>
        <w:jc w:val="both"/>
      </w:pPr>
      <w:r>
        <w:rPr>
          <w:noProof/>
        </w:rPr>
        <w:lastRenderedPageBreak/>
        <w:drawing>
          <wp:inline distT="0" distB="0" distL="0" distR="0" wp14:anchorId="7ED03E50" wp14:editId="205F37D1">
            <wp:extent cx="5486400" cy="2514600"/>
            <wp:effectExtent l="0" t="0" r="254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B3C6166" w14:textId="6ED3B972" w:rsidR="00FA7739" w:rsidRDefault="00F01387" w:rsidP="00F01387">
      <w:pPr>
        <w:pStyle w:val="Caption"/>
        <w:jc w:val="both"/>
      </w:pPr>
      <w:r>
        <w:t xml:space="preserve">Figure </w:t>
      </w:r>
      <w:r w:rsidR="00A80353">
        <w:fldChar w:fldCharType="begin"/>
      </w:r>
      <w:r w:rsidR="00A80353">
        <w:instrText xml:space="preserve"> SEQ Figure \* ARABIC </w:instrText>
      </w:r>
      <w:r w:rsidR="00A80353">
        <w:fldChar w:fldCharType="separate"/>
      </w:r>
      <w:r w:rsidR="00542993">
        <w:rPr>
          <w:noProof/>
        </w:rPr>
        <w:t>4</w:t>
      </w:r>
      <w:r w:rsidR="00A80353">
        <w:rPr>
          <w:noProof/>
        </w:rPr>
        <w:fldChar w:fldCharType="end"/>
      </w:r>
      <w:r>
        <w:t>- Traffic sources for index.gain.org from Sep 2011 to July 2012.</w:t>
      </w:r>
      <w:r w:rsidR="00542993">
        <w:t xml:space="preserve"> The green section [gain.org / globalai.org] corresponds to the Institute´s page</w:t>
      </w:r>
    </w:p>
    <w:p w14:paraId="5E275FFD" w14:textId="77777777" w:rsidR="00B06AD7" w:rsidRDefault="00B06AD7" w:rsidP="00102A38">
      <w:pPr>
        <w:jc w:val="both"/>
      </w:pPr>
    </w:p>
    <w:p w14:paraId="16715089" w14:textId="4B7E38DC" w:rsidR="00FA7739" w:rsidRDefault="00FA7739" w:rsidP="00102A38">
      <w:pPr>
        <w:jc w:val="both"/>
      </w:pPr>
      <w:r>
        <w:t>Half of</w:t>
      </w:r>
      <w:r w:rsidR="00605F5F">
        <w:t xml:space="preserve"> the</w:t>
      </w:r>
      <w:r>
        <w:t xml:space="preserve"> traffic is direct, meaning </w:t>
      </w:r>
      <w:r w:rsidR="00605F5F">
        <w:t xml:space="preserve">visitors </w:t>
      </w:r>
      <w:r>
        <w:t>typ</w:t>
      </w:r>
      <w:r w:rsidR="00605F5F">
        <w:t>e</w:t>
      </w:r>
      <w:r>
        <w:t xml:space="preserve"> the</w:t>
      </w:r>
      <w:r w:rsidR="00605F5F">
        <w:t xml:space="preserve"> url</w:t>
      </w:r>
      <w:r>
        <w:t xml:space="preserve"> address. Our organic </w:t>
      </w:r>
      <w:r w:rsidR="00B06AD7">
        <w:t>sources (people searching related keywords in engines like Google) are steady around 17%</w:t>
      </w:r>
      <w:r>
        <w:t xml:space="preserve">. Interestingly two </w:t>
      </w:r>
      <w:r w:rsidR="00605F5F">
        <w:t>high-</w:t>
      </w:r>
      <w:r w:rsidR="004A0AAC">
        <w:t>traffic websites</w:t>
      </w:r>
      <w:r>
        <w:t xml:space="preserve"> </w:t>
      </w:r>
      <w:r w:rsidR="00605F5F">
        <w:t xml:space="preserve">alone have </w:t>
      </w:r>
      <w:r>
        <w:t>provide</w:t>
      </w:r>
      <w:r w:rsidR="00605F5F">
        <w:t>d</w:t>
      </w:r>
      <w:r>
        <w:t xml:space="preserve"> more inbound links </w:t>
      </w:r>
      <w:r w:rsidR="00202C11">
        <w:t xml:space="preserve">than </w:t>
      </w:r>
      <w:r>
        <w:t xml:space="preserve">the </w:t>
      </w:r>
      <w:r w:rsidR="00B06AD7">
        <w:t xml:space="preserve">organic </w:t>
      </w:r>
      <w:r>
        <w:t>search traffic</w:t>
      </w:r>
      <w:r w:rsidR="004A0AAC">
        <w:t>.</w:t>
      </w:r>
      <w:r w:rsidR="00605F5F">
        <w:t xml:space="preserve"> </w:t>
      </w:r>
    </w:p>
    <w:p w14:paraId="142B6061" w14:textId="77777777" w:rsidR="00FA7739" w:rsidRDefault="00FA7739" w:rsidP="00102A38">
      <w:pPr>
        <w:jc w:val="both"/>
      </w:pPr>
    </w:p>
    <w:p w14:paraId="393055B0" w14:textId="5C0CCF30" w:rsidR="00951CC7" w:rsidRDefault="00543DC0" w:rsidP="004D5DFA">
      <w:pPr>
        <w:jc w:val="both"/>
      </w:pPr>
      <w:r>
        <w:t>Regarding search terms, the list include</w:t>
      </w:r>
      <w:r w:rsidR="00605F5F">
        <w:t>s</w:t>
      </w:r>
      <w:r>
        <w:t xml:space="preserve"> obvious search terms such us “Global Adaptation Index”, “G</w:t>
      </w:r>
      <w:r w:rsidR="00605F5F">
        <w:t>AIN</w:t>
      </w:r>
      <w:r>
        <w:t xml:space="preserve"> </w:t>
      </w:r>
      <w:r w:rsidR="00605F5F">
        <w:t>I</w:t>
      </w:r>
      <w:r>
        <w:t xml:space="preserve">ndex”. </w:t>
      </w:r>
      <w:r w:rsidR="00B06AD7">
        <w:t xml:space="preserve">Other common entry keywords include </w:t>
      </w:r>
      <w:r>
        <w:t>terms such as “Adaptation Index” (</w:t>
      </w:r>
      <w:r w:rsidR="00542993">
        <w:t xml:space="preserve">our </w:t>
      </w:r>
      <w:r>
        <w:t>9</w:t>
      </w:r>
      <w:r w:rsidRPr="00543DC0">
        <w:rPr>
          <w:vertAlign w:val="superscript"/>
        </w:rPr>
        <w:t>th</w:t>
      </w:r>
      <w:r w:rsidR="00B06AD7">
        <w:t xml:space="preserve"> most common entry keyword</w:t>
      </w:r>
      <w:r w:rsidR="00542993">
        <w:t xml:space="preserve">. We actually are in the first page for Google for </w:t>
      </w:r>
      <w:r>
        <w:t xml:space="preserve">that </w:t>
      </w:r>
      <w:r w:rsidR="00542993">
        <w:t>search query</w:t>
      </w:r>
      <w:r w:rsidR="00B06AD7">
        <w:t>)</w:t>
      </w:r>
      <w:r>
        <w:t>, and country specific profile pages (Chad number 10</w:t>
      </w:r>
      <w:r w:rsidR="00B06AD7">
        <w:t xml:space="preserve"> in the top ranking of entry keywords)</w:t>
      </w:r>
      <w:r>
        <w:t xml:space="preserve">, and Mongolia number 28, but also Denmark, Australia and the USA) all in the </w:t>
      </w:r>
      <w:r w:rsidR="004D5DFA">
        <w:t>top 100 search terms.</w:t>
      </w:r>
    </w:p>
    <w:p w14:paraId="7C6DA0B3" w14:textId="77777777" w:rsidR="004A0AAC" w:rsidRDefault="004A0AAC" w:rsidP="004D5DFA">
      <w:pPr>
        <w:jc w:val="both"/>
      </w:pPr>
    </w:p>
    <w:p w14:paraId="14BADACE" w14:textId="727552E1" w:rsidR="00261E0B" w:rsidRDefault="00A80353" w:rsidP="004D5DFA">
      <w:pPr>
        <w:jc w:val="both"/>
      </w:pPr>
      <w:r>
        <w:t>The</w:t>
      </w:r>
      <w:r w:rsidR="00542993">
        <w:t xml:space="preserve"> most common pathway is a referral to the front page, where the user is lead to the Rankings. The Matrix page is the second most common landing page, but with far fewer visits than the home page.</w:t>
      </w:r>
    </w:p>
    <w:p w14:paraId="67F52851" w14:textId="77777777" w:rsidR="00261E0B" w:rsidRDefault="00261E0B" w:rsidP="004D5DFA">
      <w:pPr>
        <w:jc w:val="both"/>
      </w:pPr>
    </w:p>
    <w:p w14:paraId="05554991" w14:textId="77777777" w:rsidR="006E57EF" w:rsidRDefault="006E57EF" w:rsidP="006E57EF">
      <w:pPr>
        <w:pStyle w:val="Heading2"/>
      </w:pPr>
      <w:bookmarkStart w:id="4" w:name="_Toc205256428"/>
      <w:r>
        <w:t>Presentations</w:t>
      </w:r>
      <w:bookmarkEnd w:id="4"/>
    </w:p>
    <w:p w14:paraId="0A6AB04A" w14:textId="77777777" w:rsidR="006E57EF" w:rsidRDefault="006E57EF" w:rsidP="00561E06">
      <w:pPr>
        <w:jc w:val="both"/>
      </w:pPr>
    </w:p>
    <w:p w14:paraId="23BF9004" w14:textId="77777777" w:rsidR="00F46377" w:rsidRDefault="00F46377" w:rsidP="00E415F8">
      <w:r>
        <w:t>Given the focus on expanding the user base for the Index the Institute staff have been active in making presentations to a range of companies, consultancies and think-tanks, government and non-government institutions, and technical forums.</w:t>
      </w:r>
    </w:p>
    <w:p w14:paraId="3003CE64" w14:textId="0704AB2B" w:rsidR="00F46377" w:rsidRDefault="00F46377" w:rsidP="00E415F8">
      <w:r>
        <w:t xml:space="preserve"> </w:t>
      </w:r>
    </w:p>
    <w:p w14:paraId="3FB5108D" w14:textId="71644BD9" w:rsidR="00261E0B" w:rsidRDefault="00E415F8" w:rsidP="00E415F8">
      <w:r>
        <w:t>Summary of</w:t>
      </w:r>
      <w:r w:rsidR="00077F97">
        <w:t xml:space="preserve"> some of</w:t>
      </w:r>
      <w:r>
        <w:t xml:space="preserve"> the presentation we have done since September 2011.</w:t>
      </w:r>
    </w:p>
    <w:p w14:paraId="6FE07A7D" w14:textId="77777777" w:rsidR="00E415F8" w:rsidRDefault="00E415F8" w:rsidP="00E415F8"/>
    <w:p w14:paraId="509F9F55" w14:textId="77777777" w:rsidR="00077F97" w:rsidRDefault="00077F97" w:rsidP="00077F97">
      <w:pPr>
        <w:pStyle w:val="NormalWeb"/>
        <w:numPr>
          <w:ilvl w:val="0"/>
          <w:numId w:val="6"/>
        </w:numPr>
        <w:shd w:val="clear" w:color="auto" w:fill="FFFFFF"/>
        <w:jc w:val="both"/>
        <w:rPr>
          <w:sz w:val="22"/>
          <w:szCs w:val="22"/>
        </w:rPr>
      </w:pPr>
      <w:r>
        <w:rPr>
          <w:sz w:val="22"/>
          <w:szCs w:val="22"/>
        </w:rPr>
        <w:t>Presentation with Calvert Investments, September 16, 2011, Bethesda, Maryland</w:t>
      </w:r>
    </w:p>
    <w:p w14:paraId="16B05201" w14:textId="77777777" w:rsidR="00077F97" w:rsidRDefault="00077F97" w:rsidP="00077F97">
      <w:pPr>
        <w:pStyle w:val="NormalWeb"/>
        <w:numPr>
          <w:ilvl w:val="0"/>
          <w:numId w:val="6"/>
        </w:numPr>
        <w:shd w:val="clear" w:color="auto" w:fill="FFFFFF"/>
        <w:jc w:val="both"/>
        <w:rPr>
          <w:sz w:val="22"/>
          <w:szCs w:val="22"/>
        </w:rPr>
      </w:pPr>
      <w:r>
        <w:rPr>
          <w:sz w:val="22"/>
          <w:szCs w:val="22"/>
        </w:rPr>
        <w:t xml:space="preserve">Panel discussion, </w:t>
      </w:r>
      <w:r w:rsidRPr="00DE4661">
        <w:rPr>
          <w:i/>
          <w:sz w:val="22"/>
          <w:szCs w:val="22"/>
        </w:rPr>
        <w:t>Rethinking Resiliency</w:t>
      </w:r>
      <w:r>
        <w:rPr>
          <w:sz w:val="22"/>
          <w:szCs w:val="22"/>
        </w:rPr>
        <w:t>, during NYC Climate week, September 21, 2011</w:t>
      </w:r>
    </w:p>
    <w:p w14:paraId="0546A6D7" w14:textId="77777777" w:rsidR="00077F97" w:rsidRDefault="00077F97" w:rsidP="00077F97">
      <w:pPr>
        <w:pStyle w:val="NormalWeb"/>
        <w:numPr>
          <w:ilvl w:val="0"/>
          <w:numId w:val="6"/>
        </w:numPr>
        <w:shd w:val="clear" w:color="auto" w:fill="FFFFFF"/>
        <w:jc w:val="both"/>
        <w:rPr>
          <w:sz w:val="22"/>
          <w:szCs w:val="22"/>
        </w:rPr>
      </w:pPr>
      <w:r>
        <w:rPr>
          <w:sz w:val="22"/>
          <w:szCs w:val="22"/>
        </w:rPr>
        <w:lastRenderedPageBreak/>
        <w:t>European Ideas Network in Bucharest, Romania, September 22, 2011</w:t>
      </w:r>
    </w:p>
    <w:p w14:paraId="027B3B9C" w14:textId="77777777" w:rsidR="00077F97" w:rsidRDefault="00077F97" w:rsidP="00077F97">
      <w:pPr>
        <w:pStyle w:val="NormalWeb"/>
        <w:numPr>
          <w:ilvl w:val="0"/>
          <w:numId w:val="6"/>
        </w:numPr>
        <w:shd w:val="clear" w:color="auto" w:fill="FFFFFF"/>
        <w:jc w:val="both"/>
        <w:rPr>
          <w:sz w:val="22"/>
          <w:szCs w:val="22"/>
        </w:rPr>
      </w:pPr>
      <w:r>
        <w:rPr>
          <w:sz w:val="22"/>
          <w:szCs w:val="22"/>
        </w:rPr>
        <w:t>Inter-American Development Bank, October 7, 2011, Washington, DC</w:t>
      </w:r>
    </w:p>
    <w:p w14:paraId="4CAA774F" w14:textId="77777777" w:rsidR="00077F97" w:rsidRDefault="00077F97" w:rsidP="00077F97">
      <w:pPr>
        <w:pStyle w:val="NormalWeb"/>
        <w:numPr>
          <w:ilvl w:val="0"/>
          <w:numId w:val="6"/>
        </w:numPr>
        <w:shd w:val="clear" w:color="auto" w:fill="FFFFFF"/>
        <w:jc w:val="both"/>
        <w:rPr>
          <w:sz w:val="22"/>
          <w:szCs w:val="22"/>
        </w:rPr>
      </w:pPr>
      <w:r>
        <w:rPr>
          <w:sz w:val="22"/>
          <w:szCs w:val="22"/>
        </w:rPr>
        <w:t>GAIN Index presentation, Tecnológico de Monterrey webcast throughout Latin America, November 3, 2011</w:t>
      </w:r>
    </w:p>
    <w:p w14:paraId="42AFEEEA" w14:textId="77777777" w:rsidR="00077F97" w:rsidRDefault="00077F97" w:rsidP="00077F97">
      <w:pPr>
        <w:pStyle w:val="NormalWeb"/>
        <w:numPr>
          <w:ilvl w:val="0"/>
          <w:numId w:val="6"/>
        </w:numPr>
        <w:shd w:val="clear" w:color="auto" w:fill="FFFFFF"/>
        <w:jc w:val="both"/>
        <w:rPr>
          <w:sz w:val="22"/>
          <w:szCs w:val="22"/>
        </w:rPr>
      </w:pPr>
      <w:r>
        <w:rPr>
          <w:sz w:val="22"/>
          <w:szCs w:val="22"/>
        </w:rPr>
        <w:t>Carnegie Moscow Center, Carnegie Endowment for International Peace, Moscow, November 9, 2011</w:t>
      </w:r>
    </w:p>
    <w:p w14:paraId="726D4FFC" w14:textId="77777777" w:rsidR="00077F97" w:rsidRDefault="00077F97" w:rsidP="00077F97">
      <w:pPr>
        <w:pStyle w:val="NormalWeb"/>
        <w:numPr>
          <w:ilvl w:val="0"/>
          <w:numId w:val="6"/>
        </w:numPr>
        <w:shd w:val="clear" w:color="auto" w:fill="FFFFFF"/>
        <w:jc w:val="both"/>
        <w:rPr>
          <w:sz w:val="22"/>
          <w:szCs w:val="22"/>
        </w:rPr>
      </w:pPr>
      <w:r>
        <w:rPr>
          <w:sz w:val="22"/>
          <w:szCs w:val="22"/>
        </w:rPr>
        <w:t>GAIN Index Presentation to Latin American Ambassadors to the U.S., November 15, 2011</w:t>
      </w:r>
    </w:p>
    <w:p w14:paraId="66A2739A" w14:textId="77777777" w:rsidR="00077F97" w:rsidRDefault="00077F97" w:rsidP="00077F97">
      <w:pPr>
        <w:pStyle w:val="NormalWeb"/>
        <w:numPr>
          <w:ilvl w:val="0"/>
          <w:numId w:val="6"/>
        </w:numPr>
        <w:shd w:val="clear" w:color="auto" w:fill="FFFFFF"/>
        <w:jc w:val="both"/>
        <w:rPr>
          <w:sz w:val="22"/>
          <w:szCs w:val="22"/>
        </w:rPr>
      </w:pPr>
      <w:r>
        <w:rPr>
          <w:sz w:val="22"/>
          <w:szCs w:val="22"/>
        </w:rPr>
        <w:t>Presentation to the UNFCCC Secretariat, Bonn Germany, November 15, 2011</w:t>
      </w:r>
    </w:p>
    <w:p w14:paraId="0139BAEF" w14:textId="77777777" w:rsidR="00077F97" w:rsidRDefault="00077F97" w:rsidP="00077F97">
      <w:pPr>
        <w:pStyle w:val="NormalWeb"/>
        <w:numPr>
          <w:ilvl w:val="0"/>
          <w:numId w:val="6"/>
        </w:numPr>
        <w:shd w:val="clear" w:color="auto" w:fill="FFFFFF"/>
        <w:jc w:val="both"/>
        <w:rPr>
          <w:sz w:val="22"/>
          <w:szCs w:val="22"/>
        </w:rPr>
      </w:pPr>
      <w:r>
        <w:rPr>
          <w:sz w:val="22"/>
          <w:szCs w:val="22"/>
        </w:rPr>
        <w:t>Meeting of international vulnerability experts, “Workshop on Vulnerability Indices,” Paris France, November 16, 2011</w:t>
      </w:r>
    </w:p>
    <w:p w14:paraId="1EC50A17" w14:textId="77777777" w:rsidR="00077F97" w:rsidRDefault="00077F97" w:rsidP="00077F97">
      <w:pPr>
        <w:pStyle w:val="NormalWeb"/>
        <w:numPr>
          <w:ilvl w:val="0"/>
          <w:numId w:val="6"/>
        </w:numPr>
        <w:shd w:val="clear" w:color="auto" w:fill="FFFFFF"/>
        <w:jc w:val="both"/>
        <w:rPr>
          <w:sz w:val="22"/>
          <w:szCs w:val="22"/>
        </w:rPr>
      </w:pPr>
      <w:r>
        <w:rPr>
          <w:sz w:val="22"/>
          <w:szCs w:val="22"/>
        </w:rPr>
        <w:t>World Bank, Asian Regions Experts, November 18, 2011</w:t>
      </w:r>
    </w:p>
    <w:p w14:paraId="0820CEBB" w14:textId="77777777" w:rsidR="00077F97" w:rsidRDefault="00077F97" w:rsidP="00077F97">
      <w:pPr>
        <w:pStyle w:val="NormalWeb"/>
        <w:numPr>
          <w:ilvl w:val="0"/>
          <w:numId w:val="6"/>
        </w:numPr>
        <w:shd w:val="clear" w:color="auto" w:fill="FFFFFF"/>
        <w:jc w:val="both"/>
        <w:rPr>
          <w:sz w:val="22"/>
          <w:szCs w:val="22"/>
        </w:rPr>
      </w:pPr>
      <w:r>
        <w:rPr>
          <w:sz w:val="22"/>
          <w:szCs w:val="22"/>
        </w:rPr>
        <w:t>Virtual Presentation to PepsiCo, Mexico, November 22, 2011</w:t>
      </w:r>
    </w:p>
    <w:p w14:paraId="6DA787A7" w14:textId="4701AF8E" w:rsidR="00077F97" w:rsidRDefault="00077F97" w:rsidP="00077F97">
      <w:pPr>
        <w:pStyle w:val="NormalWeb"/>
        <w:numPr>
          <w:ilvl w:val="0"/>
          <w:numId w:val="6"/>
        </w:numPr>
        <w:shd w:val="clear" w:color="auto" w:fill="FFFFFF"/>
        <w:jc w:val="both"/>
        <w:rPr>
          <w:sz w:val="22"/>
          <w:szCs w:val="22"/>
        </w:rPr>
      </w:pPr>
      <w:r>
        <w:rPr>
          <w:sz w:val="22"/>
          <w:szCs w:val="22"/>
        </w:rPr>
        <w:t>Presentation to Caribbean Ambassadors to the U.S., OEA, Washington, DC, November 22, 2011</w:t>
      </w:r>
    </w:p>
    <w:p w14:paraId="26B8A597" w14:textId="17148EFF" w:rsidR="00077F97" w:rsidRPr="00077F97" w:rsidRDefault="00077F97" w:rsidP="00077F97">
      <w:pPr>
        <w:pStyle w:val="NormalWeb"/>
        <w:numPr>
          <w:ilvl w:val="0"/>
          <w:numId w:val="6"/>
        </w:numPr>
        <w:shd w:val="clear" w:color="auto" w:fill="FFFFFF"/>
        <w:jc w:val="both"/>
        <w:rPr>
          <w:sz w:val="22"/>
          <w:szCs w:val="22"/>
        </w:rPr>
      </w:pPr>
      <w:r>
        <w:rPr>
          <w:sz w:val="22"/>
          <w:szCs w:val="22"/>
        </w:rPr>
        <w:t>Presentation to GRULA Ambassadors, Washington, DC, November 22, 2011</w:t>
      </w:r>
    </w:p>
    <w:p w14:paraId="4F0BFE33" w14:textId="2FBEAAEF" w:rsidR="00077F97" w:rsidRDefault="00077F97" w:rsidP="00077F97">
      <w:pPr>
        <w:pStyle w:val="NormalWeb"/>
        <w:numPr>
          <w:ilvl w:val="0"/>
          <w:numId w:val="6"/>
        </w:numPr>
        <w:shd w:val="clear" w:color="auto" w:fill="FFFFFF"/>
        <w:jc w:val="both"/>
        <w:rPr>
          <w:sz w:val="22"/>
          <w:szCs w:val="22"/>
        </w:rPr>
      </w:pPr>
      <w:r w:rsidRPr="00DE4661">
        <w:rPr>
          <w:i/>
          <w:sz w:val="22"/>
          <w:szCs w:val="22"/>
        </w:rPr>
        <w:t>COP 17, UNFCCC climate negoti</w:t>
      </w:r>
      <w:r>
        <w:rPr>
          <w:i/>
          <w:sz w:val="22"/>
          <w:szCs w:val="22"/>
        </w:rPr>
        <w:t>ati</w:t>
      </w:r>
      <w:r w:rsidRPr="00DE4661">
        <w:rPr>
          <w:i/>
          <w:sz w:val="22"/>
          <w:szCs w:val="22"/>
        </w:rPr>
        <w:t>ons</w:t>
      </w:r>
      <w:r>
        <w:rPr>
          <w:sz w:val="22"/>
          <w:szCs w:val="22"/>
        </w:rPr>
        <w:t xml:space="preserve"> GAIN Index discussion, Durban, South Africa</w:t>
      </w:r>
    </w:p>
    <w:p w14:paraId="1A23DBBF" w14:textId="77777777" w:rsidR="00077F97" w:rsidRDefault="00077F97" w:rsidP="00077F97">
      <w:pPr>
        <w:pStyle w:val="NormalWeb"/>
        <w:numPr>
          <w:ilvl w:val="0"/>
          <w:numId w:val="6"/>
        </w:numPr>
        <w:shd w:val="clear" w:color="auto" w:fill="FFFFFF"/>
        <w:jc w:val="both"/>
        <w:rPr>
          <w:sz w:val="22"/>
          <w:szCs w:val="22"/>
        </w:rPr>
      </w:pPr>
      <w:r>
        <w:rPr>
          <w:sz w:val="22"/>
          <w:szCs w:val="22"/>
        </w:rPr>
        <w:t>American University, November 30, 2011</w:t>
      </w:r>
    </w:p>
    <w:p w14:paraId="6CB1F378" w14:textId="77777777" w:rsidR="00077F97" w:rsidRDefault="00077F97" w:rsidP="00077F97">
      <w:pPr>
        <w:pStyle w:val="NormalWeb"/>
        <w:numPr>
          <w:ilvl w:val="0"/>
          <w:numId w:val="6"/>
        </w:numPr>
        <w:shd w:val="clear" w:color="auto" w:fill="FFFFFF"/>
        <w:jc w:val="both"/>
        <w:rPr>
          <w:sz w:val="22"/>
          <w:szCs w:val="22"/>
        </w:rPr>
      </w:pPr>
      <w:r>
        <w:rPr>
          <w:sz w:val="22"/>
          <w:szCs w:val="22"/>
        </w:rPr>
        <w:t>Presentation at IFC, January 27, 2012, Washington, DC</w:t>
      </w:r>
    </w:p>
    <w:p w14:paraId="01D62E92" w14:textId="77777777" w:rsidR="00077F97" w:rsidRDefault="00077F97" w:rsidP="00077F97">
      <w:pPr>
        <w:pStyle w:val="NormalWeb"/>
        <w:numPr>
          <w:ilvl w:val="0"/>
          <w:numId w:val="6"/>
        </w:numPr>
        <w:shd w:val="clear" w:color="auto" w:fill="FFFFFF"/>
        <w:jc w:val="both"/>
        <w:rPr>
          <w:sz w:val="22"/>
          <w:szCs w:val="22"/>
        </w:rPr>
      </w:pPr>
      <w:r w:rsidRPr="00DE4661">
        <w:rPr>
          <w:i/>
          <w:sz w:val="22"/>
          <w:szCs w:val="22"/>
        </w:rPr>
        <w:t>Is Latin America Ready to Cope with Climate Change? A Discussion of the Global Adaptation Index</w:t>
      </w:r>
      <w:r>
        <w:rPr>
          <w:sz w:val="22"/>
          <w:szCs w:val="22"/>
        </w:rPr>
        <w:t>, Inter-American Dialogue, Washington, DC, March 20, 2012</w:t>
      </w:r>
    </w:p>
    <w:p w14:paraId="10C540C7" w14:textId="4AE98B91" w:rsidR="00077F97" w:rsidRDefault="00077F97" w:rsidP="00077F97">
      <w:pPr>
        <w:pStyle w:val="NormalWeb"/>
        <w:numPr>
          <w:ilvl w:val="0"/>
          <w:numId w:val="6"/>
        </w:numPr>
        <w:shd w:val="clear" w:color="auto" w:fill="FFFFFF"/>
        <w:jc w:val="both"/>
        <w:rPr>
          <w:sz w:val="22"/>
          <w:szCs w:val="22"/>
        </w:rPr>
      </w:pPr>
      <w:r w:rsidRPr="00DE4661">
        <w:rPr>
          <w:i/>
          <w:sz w:val="22"/>
          <w:szCs w:val="22"/>
        </w:rPr>
        <w:t>Engineers Without Borders-USA, Annual Meeting</w:t>
      </w:r>
      <w:r>
        <w:rPr>
          <w:sz w:val="22"/>
          <w:szCs w:val="22"/>
        </w:rPr>
        <w:t>, Henderson, Nevada, March 22, 2012</w:t>
      </w:r>
    </w:p>
    <w:p w14:paraId="7A52CC70" w14:textId="77777777" w:rsidR="00077F97" w:rsidRDefault="00077F97" w:rsidP="00077F97">
      <w:pPr>
        <w:pStyle w:val="NormalWeb"/>
        <w:numPr>
          <w:ilvl w:val="0"/>
          <w:numId w:val="6"/>
        </w:numPr>
        <w:shd w:val="clear" w:color="auto" w:fill="FFFFFF"/>
        <w:jc w:val="both"/>
        <w:rPr>
          <w:sz w:val="22"/>
          <w:szCs w:val="22"/>
        </w:rPr>
      </w:pPr>
      <w:r w:rsidRPr="00DE4661">
        <w:rPr>
          <w:i/>
          <w:sz w:val="22"/>
          <w:szCs w:val="22"/>
        </w:rPr>
        <w:t>A Conversation on the Future of Central America</w:t>
      </w:r>
      <w:r>
        <w:rPr>
          <w:sz w:val="22"/>
          <w:szCs w:val="22"/>
        </w:rPr>
        <w:t>, Brookings Institution, Washington, DC, March 29, 2012</w:t>
      </w:r>
    </w:p>
    <w:p w14:paraId="5579D3BB" w14:textId="0D18246F" w:rsidR="00077F97" w:rsidRDefault="00077F97" w:rsidP="00077F97">
      <w:pPr>
        <w:pStyle w:val="NormalWeb"/>
        <w:numPr>
          <w:ilvl w:val="0"/>
          <w:numId w:val="6"/>
        </w:numPr>
        <w:shd w:val="clear" w:color="auto" w:fill="FFFFFF"/>
        <w:jc w:val="both"/>
        <w:rPr>
          <w:sz w:val="22"/>
          <w:szCs w:val="22"/>
        </w:rPr>
      </w:pPr>
      <w:r w:rsidRPr="00DE4661">
        <w:rPr>
          <w:i/>
          <w:sz w:val="22"/>
          <w:szCs w:val="22"/>
        </w:rPr>
        <w:t>World Economic Forum on Latin America</w:t>
      </w:r>
      <w:r>
        <w:rPr>
          <w:sz w:val="22"/>
          <w:szCs w:val="22"/>
        </w:rPr>
        <w:t xml:space="preserve">, Puerto Vallarta, Mexico, April 16-18, </w:t>
      </w:r>
    </w:p>
    <w:p w14:paraId="3DBC8E44" w14:textId="77777777" w:rsidR="00077F97" w:rsidRDefault="00077F97" w:rsidP="00077F97">
      <w:pPr>
        <w:pStyle w:val="NormalWeb"/>
        <w:numPr>
          <w:ilvl w:val="0"/>
          <w:numId w:val="6"/>
        </w:numPr>
        <w:shd w:val="clear" w:color="auto" w:fill="FFFFFF"/>
        <w:jc w:val="both"/>
        <w:rPr>
          <w:sz w:val="22"/>
          <w:szCs w:val="22"/>
        </w:rPr>
      </w:pPr>
      <w:r w:rsidRPr="00DE4661">
        <w:rPr>
          <w:i/>
          <w:sz w:val="22"/>
          <w:szCs w:val="22"/>
        </w:rPr>
        <w:t>GAIN Annual Meeting &amp; Scientific Convening</w:t>
      </w:r>
      <w:r>
        <w:rPr>
          <w:sz w:val="22"/>
          <w:szCs w:val="22"/>
        </w:rPr>
        <w:t>, Washington, DC, May 9 &amp; 10</w:t>
      </w:r>
    </w:p>
    <w:p w14:paraId="05AA9EAC" w14:textId="5F11C00E" w:rsidR="00077F97" w:rsidRDefault="00077F97" w:rsidP="00077F97">
      <w:pPr>
        <w:pStyle w:val="NormalWeb"/>
        <w:numPr>
          <w:ilvl w:val="0"/>
          <w:numId w:val="6"/>
        </w:numPr>
        <w:shd w:val="clear" w:color="auto" w:fill="FFFFFF"/>
        <w:jc w:val="both"/>
        <w:rPr>
          <w:sz w:val="22"/>
          <w:szCs w:val="22"/>
        </w:rPr>
      </w:pPr>
      <w:r w:rsidRPr="00DE4661">
        <w:rPr>
          <w:i/>
          <w:sz w:val="22"/>
          <w:szCs w:val="22"/>
        </w:rPr>
        <w:t>RIO + 20, UN Global Sustainability Conference</w:t>
      </w:r>
      <w:r>
        <w:rPr>
          <w:sz w:val="22"/>
          <w:szCs w:val="22"/>
        </w:rPr>
        <w:t>, Rio de Janiero,  June 20, 2012</w:t>
      </w:r>
    </w:p>
    <w:p w14:paraId="7D95E966" w14:textId="440C213F" w:rsidR="00077F97" w:rsidRPr="00077F97" w:rsidRDefault="00077F97" w:rsidP="00077F97">
      <w:pPr>
        <w:pStyle w:val="NormalWeb"/>
        <w:numPr>
          <w:ilvl w:val="0"/>
          <w:numId w:val="6"/>
        </w:numPr>
        <w:shd w:val="clear" w:color="auto" w:fill="FFFFFF"/>
        <w:jc w:val="both"/>
        <w:rPr>
          <w:sz w:val="22"/>
          <w:szCs w:val="22"/>
        </w:rPr>
      </w:pPr>
      <w:r>
        <w:rPr>
          <w:i/>
          <w:sz w:val="22"/>
          <w:szCs w:val="22"/>
        </w:rPr>
        <w:t>USAID, July, 2012</w:t>
      </w:r>
    </w:p>
    <w:p w14:paraId="7B27E1BE" w14:textId="41B900E6" w:rsidR="00077F97" w:rsidRDefault="00077F97" w:rsidP="00077F97">
      <w:pPr>
        <w:pStyle w:val="NormalWeb"/>
        <w:numPr>
          <w:ilvl w:val="0"/>
          <w:numId w:val="6"/>
        </w:numPr>
        <w:shd w:val="clear" w:color="auto" w:fill="FFFFFF"/>
        <w:jc w:val="both"/>
        <w:rPr>
          <w:sz w:val="22"/>
          <w:szCs w:val="22"/>
        </w:rPr>
      </w:pPr>
      <w:r>
        <w:rPr>
          <w:i/>
          <w:sz w:val="22"/>
          <w:szCs w:val="22"/>
        </w:rPr>
        <w:t xml:space="preserve">State Department, </w:t>
      </w:r>
      <w:r>
        <w:rPr>
          <w:sz w:val="22"/>
          <w:szCs w:val="22"/>
        </w:rPr>
        <w:t>Office of Global Change, August, 2012</w:t>
      </w:r>
    </w:p>
    <w:p w14:paraId="59274F8F" w14:textId="19F977E7" w:rsidR="00F46377" w:rsidRPr="00B01FE2" w:rsidRDefault="00F46377" w:rsidP="00B01FE2">
      <w:pPr>
        <w:pStyle w:val="NormalWeb"/>
        <w:shd w:val="clear" w:color="auto" w:fill="FFFFFF"/>
        <w:rPr>
          <w:sz w:val="24"/>
          <w:szCs w:val="24"/>
        </w:rPr>
      </w:pPr>
      <w:r w:rsidRPr="00B01FE2">
        <w:rPr>
          <w:sz w:val="24"/>
          <w:szCs w:val="24"/>
        </w:rPr>
        <w:t xml:space="preserve">The Index also featured in a number of technical presentations dealing more broadly with the application of indices in adaptation planning, including meetings in Bonn, Tucson and Melbourne. </w:t>
      </w:r>
      <w:r w:rsidR="00542993" w:rsidRPr="00B01FE2">
        <w:rPr>
          <w:sz w:val="24"/>
          <w:szCs w:val="24"/>
        </w:rPr>
        <w:t>A partial list of events can also be found here:</w:t>
      </w:r>
      <w:r w:rsidR="00A80353">
        <w:rPr>
          <w:sz w:val="24"/>
          <w:szCs w:val="24"/>
        </w:rPr>
        <w:t xml:space="preserve"> </w:t>
      </w:r>
      <w:hyperlink r:id="rId13" w:history="1">
        <w:r w:rsidR="00A80353" w:rsidRPr="00B01FE2">
          <w:rPr>
            <w:rStyle w:val="Hyperlink"/>
            <w:sz w:val="24"/>
            <w:szCs w:val="24"/>
          </w:rPr>
          <w:t>http://news.gain.org/tagged/events</w:t>
        </w:r>
      </w:hyperlink>
    </w:p>
    <w:p w14:paraId="3BD10C9F" w14:textId="58B081E4" w:rsidR="00344B99" w:rsidRDefault="006E57EF" w:rsidP="006E57EF">
      <w:pPr>
        <w:pStyle w:val="Heading2"/>
      </w:pPr>
      <w:bookmarkStart w:id="5" w:name="_Toc205256429"/>
      <w:r>
        <w:t xml:space="preserve">Email </w:t>
      </w:r>
      <w:r w:rsidR="00AA6331">
        <w:t xml:space="preserve">and personal </w:t>
      </w:r>
      <w:r>
        <w:t>Feedback</w:t>
      </w:r>
      <w:bookmarkEnd w:id="5"/>
    </w:p>
    <w:p w14:paraId="1625F9C5" w14:textId="77777777" w:rsidR="006E57EF" w:rsidRDefault="006E57EF" w:rsidP="006E57EF"/>
    <w:p w14:paraId="49EBC27F" w14:textId="48AE0F06" w:rsidR="006E57EF" w:rsidRDefault="00DC5782" w:rsidP="006E57EF">
      <w:r>
        <w:t>We have compiled a list of ~40</w:t>
      </w:r>
      <w:r w:rsidR="00AA6331">
        <w:t xml:space="preserve"> </w:t>
      </w:r>
      <w:r w:rsidR="00E625D9">
        <w:t>I</w:t>
      </w:r>
      <w:r w:rsidR="00AA6331">
        <w:t>ssues</w:t>
      </w:r>
      <w:r w:rsidR="00C15141">
        <w:t>; i.e.  q</w:t>
      </w:r>
      <w:r w:rsidR="00C049B0">
        <w:t>uestions from users</w:t>
      </w:r>
      <w:r w:rsidR="00E625D9">
        <w:t xml:space="preserve"> at our presentations or via email regarding definitions, data sources, problems, data gaps, criteria and others.</w:t>
      </w:r>
      <w:r>
        <w:t xml:space="preserve"> </w:t>
      </w:r>
      <w:r w:rsidR="00C32762">
        <w:t xml:space="preserve">The list is available online at: </w:t>
      </w:r>
      <w:hyperlink r:id="rId14" w:history="1">
        <w:r w:rsidR="00C32762" w:rsidRPr="00EB0F98">
          <w:rPr>
            <w:rStyle w:val="Hyperlink"/>
          </w:rPr>
          <w:t>https://github.com/globalai/GaIn-Index/issues</w:t>
        </w:r>
      </w:hyperlink>
      <w:r w:rsidR="00C32762">
        <w:rPr>
          <w:rStyle w:val="Hyperlink"/>
        </w:rPr>
        <w:t xml:space="preserve">.  </w:t>
      </w:r>
      <w:r w:rsidR="00E625D9">
        <w:t>We are also listing how</w:t>
      </w:r>
      <w:r w:rsidR="00317D4F">
        <w:t xml:space="preserve"> GAIN </w:t>
      </w:r>
      <w:r w:rsidR="00C32762">
        <w:t xml:space="preserve">has resolved or </w:t>
      </w:r>
      <w:r w:rsidR="00317D4F">
        <w:t xml:space="preserve">intends to </w:t>
      </w:r>
      <w:r w:rsidR="00E625D9">
        <w:t>address the Issue</w:t>
      </w:r>
      <w:r>
        <w:t xml:space="preserve"> (14 of those Issues are already fixed/closed)</w:t>
      </w:r>
      <w:r w:rsidR="00AA6331">
        <w:t xml:space="preserve">. </w:t>
      </w:r>
    </w:p>
    <w:p w14:paraId="2ED629DA" w14:textId="5402FE6A" w:rsidR="00542993" w:rsidRDefault="00542993" w:rsidP="00925AB9">
      <w:pPr>
        <w:pStyle w:val="Heading1"/>
      </w:pPr>
      <w:bookmarkStart w:id="6" w:name="_Toc205256430"/>
      <w:r>
        <w:t>GAIN Nomenclature of Versions</w:t>
      </w:r>
      <w:bookmarkEnd w:id="6"/>
    </w:p>
    <w:p w14:paraId="50093F43" w14:textId="77777777" w:rsidR="00542993" w:rsidRDefault="00542993" w:rsidP="00542993">
      <w:pPr>
        <w:rPr>
          <w:rStyle w:val="Heading2Char"/>
        </w:rPr>
      </w:pPr>
    </w:p>
    <w:p w14:paraId="36A37F93" w14:textId="77777777" w:rsidR="00542993" w:rsidRDefault="00542993" w:rsidP="00542993">
      <w:r w:rsidRPr="00192C64">
        <w:rPr>
          <w:rStyle w:val="Heading2Char"/>
        </w:rPr>
        <w:lastRenderedPageBreak/>
        <w:t>Legacy Ind</w:t>
      </w:r>
      <w:r>
        <w:rPr>
          <w:rStyle w:val="Heading2Char"/>
        </w:rPr>
        <w:t>ices, updates and upgrades</w:t>
      </w:r>
      <w:r>
        <w:t>.</w:t>
      </w:r>
    </w:p>
    <w:p w14:paraId="39620BF6" w14:textId="77777777" w:rsidR="00542993" w:rsidRDefault="00542993" w:rsidP="00542993"/>
    <w:p w14:paraId="0171A2E1" w14:textId="77777777" w:rsidR="00542993" w:rsidRDefault="00542993" w:rsidP="00542993">
      <w:r>
        <w:t>As it stands now we will have 3 sets of data:</w:t>
      </w:r>
    </w:p>
    <w:p w14:paraId="7F82424A" w14:textId="4FF35C70" w:rsidR="00542993" w:rsidRDefault="00542993" w:rsidP="00542993">
      <w:pPr>
        <w:pStyle w:val="ListParagraph"/>
        <w:numPr>
          <w:ilvl w:val="0"/>
          <w:numId w:val="2"/>
        </w:numPr>
      </w:pPr>
      <w:r>
        <w:rPr>
          <w:b/>
        </w:rPr>
        <w:t>GAIN</w:t>
      </w:r>
      <w:r w:rsidRPr="00192C64">
        <w:rPr>
          <w:b/>
        </w:rPr>
        <w:t xml:space="preserve">  Index 2011</w:t>
      </w:r>
      <w:r>
        <w:rPr>
          <w:b/>
        </w:rPr>
        <w:t xml:space="preserve"> Legacy</w:t>
      </w:r>
      <w:r>
        <w:t xml:space="preserve">, with data from 1995 to 2010, which is the current website. Once we release this year´s update, there will be a link to a document explaining differences with the “GAIN Index Update” and “GAIN Index Upgrade”. </w:t>
      </w:r>
    </w:p>
    <w:p w14:paraId="433605B3" w14:textId="77777777" w:rsidR="00542993" w:rsidRDefault="00542993" w:rsidP="00542993">
      <w:pPr>
        <w:pStyle w:val="ListParagraph"/>
        <w:numPr>
          <w:ilvl w:val="0"/>
          <w:numId w:val="2"/>
        </w:numPr>
      </w:pPr>
      <w:r>
        <w:rPr>
          <w:b/>
        </w:rPr>
        <w:t>GAIN Index 2012 U</w:t>
      </w:r>
      <w:r w:rsidRPr="00192C64">
        <w:rPr>
          <w:b/>
        </w:rPr>
        <w:t>pdate</w:t>
      </w:r>
      <w:r>
        <w:t xml:space="preserve"> from 1995 to 2011. This is the reference for comparisons with GAIN Index 2011 Legacy before adding the new measures.</w:t>
      </w:r>
    </w:p>
    <w:p w14:paraId="31376ED4" w14:textId="53F2DCCB" w:rsidR="00542993" w:rsidRDefault="00542993" w:rsidP="00B01FE2">
      <w:pPr>
        <w:pStyle w:val="ListParagraph"/>
        <w:numPr>
          <w:ilvl w:val="0"/>
          <w:numId w:val="2"/>
        </w:numPr>
      </w:pPr>
      <w:r>
        <w:rPr>
          <w:b/>
        </w:rPr>
        <w:t>GAIN  Index 2012 U</w:t>
      </w:r>
      <w:r w:rsidRPr="00192C64">
        <w:rPr>
          <w:b/>
        </w:rPr>
        <w:t>pgrade</w:t>
      </w:r>
      <w:r>
        <w:t xml:space="preserve"> from 1995 to 2011 (ecosystem services and urban additions). This will be the official GAIN Index.</w:t>
      </w:r>
    </w:p>
    <w:p w14:paraId="4148EAA3" w14:textId="69104BC3" w:rsidR="00925AB9" w:rsidRDefault="00925AB9" w:rsidP="00925AB9">
      <w:pPr>
        <w:pStyle w:val="Heading1"/>
      </w:pPr>
      <w:bookmarkStart w:id="7" w:name="_Toc205256431"/>
      <w:r>
        <w:t>GAIN 2011 Legacy</w:t>
      </w:r>
      <w:bookmarkEnd w:id="7"/>
    </w:p>
    <w:p w14:paraId="2B792307" w14:textId="77777777" w:rsidR="00925AB9" w:rsidRDefault="00925AB9" w:rsidP="00925AB9"/>
    <w:p w14:paraId="61419D28" w14:textId="40379592" w:rsidR="00925AB9" w:rsidRDefault="00925AB9" w:rsidP="00925AB9">
      <w:r>
        <w:t xml:space="preserve">The Index released last year in September will be referred as </w:t>
      </w:r>
      <w:r w:rsidRPr="00925AB9">
        <w:rPr>
          <w:i/>
        </w:rPr>
        <w:t>Gain 2011 Legacy</w:t>
      </w:r>
      <w:r>
        <w:t xml:space="preserve"> once we launch the Gain 2012. The data will remain available, as well a summary of changes as described on this document.</w:t>
      </w:r>
    </w:p>
    <w:p w14:paraId="3523F9EC" w14:textId="77777777" w:rsidR="00925AB9" w:rsidRDefault="00925AB9" w:rsidP="00925AB9"/>
    <w:p w14:paraId="2F71DCC7" w14:textId="6D9FFCB8" w:rsidR="00925AB9" w:rsidRDefault="00925AB9" w:rsidP="00925AB9">
      <w:r>
        <w:t>The code, files and data that created GAIN 2011 Legacy will remain available here:</w:t>
      </w:r>
    </w:p>
    <w:p w14:paraId="2DAF06FF" w14:textId="31FE8B0A" w:rsidR="00925AB9" w:rsidRDefault="00B01FE2" w:rsidP="00925AB9">
      <w:hyperlink r:id="rId15" w:history="1">
        <w:r w:rsidR="00AB1DEE" w:rsidRPr="009C1DAF">
          <w:rPr>
            <w:rStyle w:val="Hyperlink"/>
          </w:rPr>
          <w:t>https://github.com/globalai/GaIn-Index/tags</w:t>
        </w:r>
      </w:hyperlink>
    </w:p>
    <w:p w14:paraId="5926BBE8" w14:textId="77777777" w:rsidR="00AB1DEE" w:rsidRDefault="00AB1DEE" w:rsidP="00925AB9"/>
    <w:p w14:paraId="3E038627" w14:textId="64531259" w:rsidR="00AB1DEE" w:rsidRDefault="00AB1DEE" w:rsidP="00925AB9">
      <w:r>
        <w:t>The website source files and instructions for deployment will remain available here:</w:t>
      </w:r>
    </w:p>
    <w:p w14:paraId="283E5BF6" w14:textId="06075812" w:rsidR="00AB1DEE" w:rsidRDefault="00B01FE2" w:rsidP="00925AB9">
      <w:hyperlink r:id="rId16" w:history="1">
        <w:r w:rsidR="003659AB" w:rsidRPr="009C1DAF">
          <w:rPr>
            <w:rStyle w:val="Hyperlink"/>
          </w:rPr>
          <w:t>https://github.com/globalai/Index-site/tags</w:t>
        </w:r>
      </w:hyperlink>
    </w:p>
    <w:p w14:paraId="2E784CE3" w14:textId="77777777" w:rsidR="00AB1DEE" w:rsidRDefault="00AB1DEE" w:rsidP="00925AB9"/>
    <w:p w14:paraId="0D28DD7F" w14:textId="0E6C8F8E" w:rsidR="00AB1DEE" w:rsidRDefault="00AB1DEE" w:rsidP="00AB1DEE">
      <w:pPr>
        <w:pStyle w:val="Heading1"/>
      </w:pPr>
      <w:bookmarkStart w:id="8" w:name="_Toc205256432"/>
      <w:r>
        <w:t>GAIN 2012 Update</w:t>
      </w:r>
      <w:bookmarkEnd w:id="8"/>
    </w:p>
    <w:p w14:paraId="73C602F6" w14:textId="77777777" w:rsidR="00AB1DEE" w:rsidRDefault="00AB1DEE" w:rsidP="00925AB9"/>
    <w:p w14:paraId="75CBFB8C" w14:textId="47DC3F59" w:rsidR="00AB1DEE" w:rsidRDefault="00313618" w:rsidP="00925AB9">
      <w:r>
        <w:t xml:space="preserve">This version refers to the result of the Internal audit process. The </w:t>
      </w:r>
      <w:r w:rsidR="000A5FAC">
        <w:t>framework remains the same, with the few changes outlined below. The resulting ranking is very similar to the GAIN 2011 Legacy, with the main following benefits:</w:t>
      </w:r>
    </w:p>
    <w:p w14:paraId="0F1CF696" w14:textId="5CCC1C53" w:rsidR="00674AC3" w:rsidRDefault="00674AC3" w:rsidP="00B01FE2">
      <w:pPr>
        <w:pStyle w:val="ListParagraph"/>
        <w:numPr>
          <w:ilvl w:val="0"/>
          <w:numId w:val="9"/>
        </w:numPr>
      </w:pPr>
      <w:r>
        <w:t>Data updated to include new information appearing in past year</w:t>
      </w:r>
    </w:p>
    <w:p w14:paraId="2E59D8BB" w14:textId="28DCC636" w:rsidR="000A5FAC" w:rsidRDefault="000A5FAC" w:rsidP="000A5FAC">
      <w:pPr>
        <w:pStyle w:val="ListParagraph"/>
        <w:numPr>
          <w:ilvl w:val="0"/>
          <w:numId w:val="4"/>
        </w:numPr>
      </w:pPr>
      <w:r>
        <w:t>Code has been redone to ensure consistent results.</w:t>
      </w:r>
    </w:p>
    <w:p w14:paraId="3CCD3540" w14:textId="5B4A5A12" w:rsidR="000A5FAC" w:rsidRDefault="000A5FAC" w:rsidP="000A5FAC">
      <w:pPr>
        <w:pStyle w:val="ListParagraph"/>
        <w:numPr>
          <w:ilvl w:val="0"/>
          <w:numId w:val="4"/>
        </w:numPr>
      </w:pPr>
      <w:r>
        <w:t>More countries available.</w:t>
      </w:r>
    </w:p>
    <w:p w14:paraId="38ACE141" w14:textId="15FCE05C" w:rsidR="000A5FAC" w:rsidRDefault="000A5FAC" w:rsidP="000A5FAC">
      <w:pPr>
        <w:pStyle w:val="ListParagraph"/>
        <w:numPr>
          <w:ilvl w:val="0"/>
          <w:numId w:val="4"/>
        </w:numPr>
      </w:pPr>
      <w:r>
        <w:t>Re-Sourcing of the data, where some static measures are now dynamic (new temporal data).</w:t>
      </w:r>
    </w:p>
    <w:p w14:paraId="2D1A85B8" w14:textId="48CBF6E0" w:rsidR="00313618" w:rsidRDefault="00313618" w:rsidP="00313618">
      <w:pPr>
        <w:pStyle w:val="Heading2"/>
      </w:pPr>
      <w:bookmarkStart w:id="9" w:name="_Toc204770309"/>
      <w:bookmarkStart w:id="10" w:name="_Toc205256433"/>
      <w:r>
        <w:t>Changes in the code</w:t>
      </w:r>
      <w:bookmarkEnd w:id="9"/>
      <w:bookmarkEnd w:id="10"/>
    </w:p>
    <w:p w14:paraId="6D88BD4E" w14:textId="77777777" w:rsidR="00313618" w:rsidRDefault="00313618" w:rsidP="00313618"/>
    <w:p w14:paraId="2D36EAAA" w14:textId="588336FD" w:rsidR="00925AB9" w:rsidRDefault="00313618" w:rsidP="00313618">
      <w:r>
        <w:t xml:space="preserve">The code has been completely reworked through an internal audit process. </w:t>
      </w:r>
      <w:r w:rsidR="000A5FAC">
        <w:t xml:space="preserve">The conceptual framework remains the same, but </w:t>
      </w:r>
      <w:r w:rsidR="006728E0">
        <w:t xml:space="preserve">a new </w:t>
      </w:r>
      <w:r w:rsidR="000A5FAC">
        <w:t xml:space="preserve">computational approach was developed separate from the original code. </w:t>
      </w:r>
      <w:r>
        <w:t xml:space="preserve">All identified bugs </w:t>
      </w:r>
      <w:r w:rsidR="00517E63">
        <w:t xml:space="preserve">in the Legacy code </w:t>
      </w:r>
      <w:r>
        <w:t>have been fixed</w:t>
      </w:r>
      <w:r w:rsidR="000A5FAC">
        <w:t>, as reflected in the Issue tracker.</w:t>
      </w:r>
      <w:r>
        <w:t xml:space="preserve"> The parameters </w:t>
      </w:r>
      <w:r w:rsidR="000A5FAC">
        <w:t xml:space="preserve">for the framework (such as thresholds for each measure) </w:t>
      </w:r>
      <w:r>
        <w:t xml:space="preserve">remain </w:t>
      </w:r>
      <w:r w:rsidR="000A5FAC">
        <w:t>the same.</w:t>
      </w:r>
    </w:p>
    <w:p w14:paraId="1A0F0E87" w14:textId="77777777" w:rsidR="000A5FAC" w:rsidRDefault="000A5FAC" w:rsidP="00313618"/>
    <w:p w14:paraId="49534E01" w14:textId="3CE171A2" w:rsidR="00804B0E" w:rsidRDefault="000A5FAC" w:rsidP="00313618">
      <w:r>
        <w:t xml:space="preserve">The code is written in Microsoft Visual Basic. </w:t>
      </w:r>
      <w:r w:rsidR="00804B0E">
        <w:t xml:space="preserve">Available as a Macro under file Main.xls and also periodically copied here: </w:t>
      </w:r>
    </w:p>
    <w:p w14:paraId="1F92B42C" w14:textId="79C7F6BC" w:rsidR="00804B0E" w:rsidRDefault="00B01FE2" w:rsidP="00313618">
      <w:hyperlink r:id="rId17" w:history="1">
        <w:r w:rsidR="00804B0E" w:rsidRPr="006C06D9">
          <w:rPr>
            <w:rStyle w:val="Hyperlink"/>
          </w:rPr>
          <w:t>https://github.com/globalai/GaIn-Index/blob/master/GAIN-main-code.vb</w:t>
        </w:r>
      </w:hyperlink>
    </w:p>
    <w:p w14:paraId="60819DBE" w14:textId="5A16B959" w:rsidR="000A5FAC" w:rsidRDefault="00804B0E" w:rsidP="00313618">
      <w:r>
        <w:t xml:space="preserve"> </w:t>
      </w:r>
    </w:p>
    <w:p w14:paraId="35988A10" w14:textId="255E3DE4" w:rsidR="00B14299" w:rsidRDefault="006854D6" w:rsidP="00925AB9">
      <w:pPr>
        <w:pStyle w:val="Heading2"/>
      </w:pPr>
      <w:bookmarkStart w:id="11" w:name="_Toc205256434"/>
      <w:r>
        <w:t xml:space="preserve">Updates </w:t>
      </w:r>
      <w:r w:rsidR="00317D4F">
        <w:t>on</w:t>
      </w:r>
      <w:r>
        <w:t xml:space="preserve"> Individual Measures</w:t>
      </w:r>
      <w:bookmarkEnd w:id="11"/>
    </w:p>
    <w:p w14:paraId="4AC0621C" w14:textId="77777777" w:rsidR="006854D6" w:rsidRDefault="006854D6" w:rsidP="006E57EF"/>
    <w:p w14:paraId="244C8D9C" w14:textId="2FD13902" w:rsidR="006854D6" w:rsidRDefault="006854D6" w:rsidP="006854D6">
      <w:r>
        <w:t>Water Change in precipitation:</w:t>
      </w:r>
      <w:r>
        <w:tab/>
        <w:t>No change</w:t>
      </w:r>
      <w:r w:rsidR="00C563A9">
        <w:t>;</w:t>
      </w:r>
      <w:r>
        <w:t xml:space="preserve"> </w:t>
      </w:r>
      <w:r w:rsidR="00C563A9">
        <w:t xml:space="preserve">derived from current climate models </w:t>
      </w:r>
    </w:p>
    <w:p w14:paraId="79E6AA05" w14:textId="41BA63F6" w:rsidR="006854D6" w:rsidRDefault="006854D6" w:rsidP="006854D6">
      <w:r>
        <w:t xml:space="preserve">Water Use: </w:t>
      </w:r>
      <w:r>
        <w:tab/>
      </w:r>
      <w:r>
        <w:tab/>
      </w:r>
      <w:r>
        <w:tab/>
      </w:r>
      <w:r>
        <w:tab/>
        <w:t>Copied over from 2011</w:t>
      </w:r>
    </w:p>
    <w:p w14:paraId="2115889D" w14:textId="4733B44F" w:rsidR="006854D6" w:rsidRDefault="006854D6" w:rsidP="006854D6">
      <w:r>
        <w:t>Water A</w:t>
      </w:r>
      <w:r w:rsidR="008E0EEC">
        <w:t>c</w:t>
      </w:r>
      <w:r>
        <w:t>cess:</w:t>
      </w:r>
      <w:r>
        <w:tab/>
      </w:r>
      <w:r>
        <w:tab/>
      </w:r>
      <w:r>
        <w:tab/>
      </w:r>
      <w:r>
        <w:tab/>
        <w:t xml:space="preserve">Resourced from WB data portal. </w:t>
      </w:r>
    </w:p>
    <w:p w14:paraId="5226C02F" w14:textId="20B6B6BB" w:rsidR="006854D6" w:rsidRDefault="006854D6" w:rsidP="006854D6">
      <w:r>
        <w:t>Water Change in Temperature</w:t>
      </w:r>
      <w:r w:rsidR="008E0EEC">
        <w:t>.</w:t>
      </w:r>
      <w:r>
        <w:tab/>
        <w:t>Data from models. No change</w:t>
      </w:r>
    </w:p>
    <w:p w14:paraId="33A79A0D" w14:textId="7326FD1E" w:rsidR="006854D6" w:rsidRDefault="006854D6" w:rsidP="006854D6">
      <w:r>
        <w:t>Water Disease</w:t>
      </w:r>
      <w:r>
        <w:tab/>
      </w:r>
      <w:r>
        <w:tab/>
      </w:r>
      <w:r>
        <w:tab/>
        <w:t>Copied over from 2011</w:t>
      </w:r>
    </w:p>
    <w:p w14:paraId="3FCDA96F" w14:textId="488A111F" w:rsidR="006854D6" w:rsidRDefault="006854D6" w:rsidP="006854D6">
      <w:r>
        <w:t>Water Sanitation</w:t>
      </w:r>
      <w:r>
        <w:tab/>
      </w:r>
      <w:r>
        <w:tab/>
      </w:r>
      <w:r>
        <w:tab/>
        <w:t>Re</w:t>
      </w:r>
      <w:r w:rsidR="00913FB4">
        <w:t>-</w:t>
      </w:r>
      <w:r>
        <w:t>sourced from WB data portal</w:t>
      </w:r>
      <w:r w:rsidR="00380CE9">
        <w:t>.</w:t>
      </w:r>
    </w:p>
    <w:p w14:paraId="4FE9D074" w14:textId="170D9696" w:rsidR="006854D6" w:rsidRDefault="006854D6" w:rsidP="006854D6">
      <w:r>
        <w:t>Agric Yld Projected Change</w:t>
      </w:r>
      <w:r>
        <w:tab/>
      </w:r>
      <w:r>
        <w:tab/>
        <w:t>Copied over from 2011</w:t>
      </w:r>
    </w:p>
    <w:p w14:paraId="57EED6C5" w14:textId="66F36766" w:rsidR="006854D6" w:rsidRDefault="006854D6" w:rsidP="006854D6">
      <w:r>
        <w:t>Agric rural popn</w:t>
      </w:r>
      <w:r>
        <w:tab/>
      </w:r>
      <w:r>
        <w:tab/>
      </w:r>
      <w:r>
        <w:tab/>
        <w:t>Secondary measure</w:t>
      </w:r>
      <w:r w:rsidR="00517E63">
        <w:t xml:space="preserve"> (%)</w:t>
      </w:r>
    </w:p>
    <w:p w14:paraId="00B21B3D" w14:textId="73BFBC95" w:rsidR="006854D6" w:rsidRDefault="006854D6" w:rsidP="006854D6">
      <w:pPr>
        <w:ind w:firstLine="720"/>
      </w:pPr>
      <w:r>
        <w:t>Rural population</w:t>
      </w:r>
      <w:r>
        <w:tab/>
      </w:r>
      <w:r>
        <w:tab/>
        <w:t>Re</w:t>
      </w:r>
      <w:r w:rsidR="00913FB4">
        <w:t>-</w:t>
      </w:r>
      <w:r>
        <w:t xml:space="preserve">sourced from WB data portal. </w:t>
      </w:r>
    </w:p>
    <w:p w14:paraId="4BCB9434" w14:textId="199DD9B2" w:rsidR="006854D6" w:rsidRDefault="00380CE9" w:rsidP="00380CE9">
      <w:pPr>
        <w:ind w:firstLine="720"/>
      </w:pPr>
      <w:r>
        <w:t>Total Population</w:t>
      </w:r>
      <w:r w:rsidR="006854D6">
        <w:tab/>
      </w:r>
      <w:r>
        <w:tab/>
      </w:r>
      <w:r w:rsidR="00913FB4">
        <w:t>Re-sourced from WB data portal</w:t>
      </w:r>
      <w:r>
        <w:t>.</w:t>
      </w:r>
    </w:p>
    <w:p w14:paraId="5C016CB3" w14:textId="3F1A170F" w:rsidR="006854D6" w:rsidRDefault="006A0441" w:rsidP="006854D6">
      <w:r>
        <w:t>Agric Capacity</w:t>
      </w:r>
      <w:r>
        <w:tab/>
      </w:r>
      <w:r>
        <w:tab/>
      </w:r>
      <w:r>
        <w:tab/>
        <w:t>S</w:t>
      </w:r>
      <w:r w:rsidR="006854D6">
        <w:t>econdary</w:t>
      </w:r>
      <w:r w:rsidR="00517E63">
        <w:t xml:space="preserve"> measure</w:t>
      </w:r>
      <w:r>
        <w:t>*</w:t>
      </w:r>
    </w:p>
    <w:p w14:paraId="3DB40437" w14:textId="57B53849" w:rsidR="006854D6" w:rsidRDefault="006A0441" w:rsidP="006A0441">
      <w:pPr>
        <w:ind w:firstLine="720"/>
      </w:pPr>
      <w:r>
        <w:t>Fertilizers</w:t>
      </w:r>
      <w:r w:rsidR="006854D6">
        <w:tab/>
      </w:r>
      <w:r>
        <w:tab/>
      </w:r>
      <w:r>
        <w:tab/>
        <w:t>Re</w:t>
      </w:r>
      <w:r w:rsidR="00913FB4">
        <w:t>-</w:t>
      </w:r>
      <w:r>
        <w:t>sourced from WB data portal.</w:t>
      </w:r>
    </w:p>
    <w:p w14:paraId="3E128F1E" w14:textId="5E3D3251" w:rsidR="006854D6" w:rsidRDefault="006A0441" w:rsidP="006A0441">
      <w:pPr>
        <w:ind w:firstLine="720"/>
      </w:pPr>
      <w:r>
        <w:t>Machinery</w:t>
      </w:r>
      <w:r w:rsidR="006854D6">
        <w:tab/>
      </w:r>
      <w:r>
        <w:tab/>
      </w:r>
      <w:r>
        <w:tab/>
        <w:t>Re</w:t>
      </w:r>
      <w:r w:rsidR="00913FB4">
        <w:t>-</w:t>
      </w:r>
      <w:r>
        <w:t>sourced from WB data portal.</w:t>
      </w:r>
    </w:p>
    <w:p w14:paraId="69094345" w14:textId="07069FE5" w:rsidR="006854D6" w:rsidRDefault="006A0441" w:rsidP="006A0441">
      <w:pPr>
        <w:ind w:firstLine="720"/>
      </w:pPr>
      <w:r>
        <w:t>Irrigated</w:t>
      </w:r>
      <w:r w:rsidR="006854D6">
        <w:tab/>
      </w:r>
      <w:r>
        <w:tab/>
      </w:r>
      <w:r>
        <w:tab/>
        <w:t>Resourced from WB data portal.</w:t>
      </w:r>
    </w:p>
    <w:p w14:paraId="236691F3" w14:textId="6CC0398B" w:rsidR="006854D6" w:rsidRDefault="006854D6" w:rsidP="006854D6">
      <w:r>
        <w:t>Agric Yield CV</w:t>
      </w:r>
      <w:r>
        <w:tab/>
      </w:r>
      <w:r w:rsidR="00913FB4">
        <w:tab/>
      </w:r>
      <w:r w:rsidR="00913FB4">
        <w:tab/>
        <w:t>Re-sourced from WB data portal.</w:t>
      </w:r>
    </w:p>
    <w:p w14:paraId="30F9CFA0" w14:textId="071865CA" w:rsidR="006854D6" w:rsidRDefault="006854D6" w:rsidP="006854D6">
      <w:r>
        <w:t xml:space="preserve">Agric </w:t>
      </w:r>
      <w:r w:rsidR="00913FB4">
        <w:t>Imports</w:t>
      </w:r>
      <w:r>
        <w:tab/>
      </w:r>
      <w:r w:rsidR="00913FB4">
        <w:tab/>
      </w:r>
      <w:r w:rsidR="00913FB4">
        <w:tab/>
      </w:r>
      <w:r w:rsidR="00913FB4">
        <w:tab/>
      </w:r>
      <w:r>
        <w:t>Copied over from 2011</w:t>
      </w:r>
    </w:p>
    <w:p w14:paraId="7A9EF760" w14:textId="66FB0675" w:rsidR="006854D6" w:rsidRDefault="006854D6" w:rsidP="006854D6">
      <w:r>
        <w:t>Agric Malnu</w:t>
      </w:r>
      <w:r w:rsidR="008E0EEC">
        <w:t>t</w:t>
      </w:r>
      <w:r w:rsidR="00913FB4">
        <w:t>rition</w:t>
      </w:r>
      <w:r w:rsidR="008E0EEC">
        <w:tab/>
      </w:r>
      <w:r w:rsidR="00913FB4">
        <w:tab/>
      </w:r>
      <w:r w:rsidR="00913FB4">
        <w:tab/>
        <w:t>Re-sourced from WB data portal.</w:t>
      </w:r>
    </w:p>
    <w:p w14:paraId="3F851E4D" w14:textId="771C0F51" w:rsidR="006854D6" w:rsidRDefault="006854D6" w:rsidP="006854D6">
      <w:r>
        <w:t>Health DALYs</w:t>
      </w:r>
      <w:r w:rsidR="00913FB4">
        <w:tab/>
      </w:r>
      <w:r>
        <w:tab/>
      </w:r>
      <w:r w:rsidR="00913FB4">
        <w:tab/>
      </w:r>
      <w:r w:rsidR="00913FB4">
        <w:tab/>
      </w:r>
      <w:r>
        <w:t>Copied over from 2011</w:t>
      </w:r>
    </w:p>
    <w:p w14:paraId="70E856B2" w14:textId="22D2A2CD" w:rsidR="006854D6" w:rsidRDefault="006854D6" w:rsidP="006854D6">
      <w:r>
        <w:t>Health Staff</w:t>
      </w:r>
      <w:r w:rsidR="00913FB4">
        <w:tab/>
      </w:r>
      <w:r>
        <w:tab/>
      </w:r>
      <w:r w:rsidR="00913FB4">
        <w:tab/>
      </w:r>
      <w:r w:rsidR="00913FB4">
        <w:tab/>
        <w:t>S</w:t>
      </w:r>
      <w:r>
        <w:t>econdary</w:t>
      </w:r>
      <w:r w:rsidR="00517E63">
        <w:t xml:space="preserve"> (Total)</w:t>
      </w:r>
    </w:p>
    <w:p w14:paraId="1C52EBFE" w14:textId="508982BC" w:rsidR="006854D6" w:rsidRDefault="00913FB4" w:rsidP="00913FB4">
      <w:pPr>
        <w:ind w:firstLine="720"/>
      </w:pPr>
      <w:r>
        <w:t xml:space="preserve">Health </w:t>
      </w:r>
      <w:r w:rsidR="006854D6">
        <w:t>Physicians</w:t>
      </w:r>
      <w:r w:rsidR="006854D6">
        <w:tab/>
      </w:r>
      <w:r>
        <w:tab/>
        <w:t>Re-sourced from WB data portal.</w:t>
      </w:r>
    </w:p>
    <w:p w14:paraId="34343688" w14:textId="46695125" w:rsidR="006854D6" w:rsidRDefault="00913FB4" w:rsidP="00913FB4">
      <w:pPr>
        <w:ind w:firstLine="720"/>
      </w:pPr>
      <w:r>
        <w:t>Health Nurses MW</w:t>
      </w:r>
      <w:r w:rsidR="006854D6">
        <w:tab/>
      </w:r>
      <w:r>
        <w:tab/>
        <w:t>Re-sourced from WB data portal.</w:t>
      </w:r>
    </w:p>
    <w:p w14:paraId="521CCF47" w14:textId="515AD307" w:rsidR="006854D6" w:rsidRDefault="00913FB4" w:rsidP="006854D6">
      <w:r>
        <w:t>Health Longe</w:t>
      </w:r>
      <w:r>
        <w:tab/>
      </w:r>
      <w:r w:rsidR="006854D6">
        <w:tab/>
      </w:r>
      <w:r>
        <w:tab/>
      </w:r>
      <w:r>
        <w:tab/>
        <w:t>Re-sourced from WB data portal.</w:t>
      </w:r>
    </w:p>
    <w:p w14:paraId="3648C8C3" w14:textId="6BE2A9B2" w:rsidR="006854D6" w:rsidRDefault="006854D6" w:rsidP="006854D6">
      <w:r>
        <w:t>Health Disease</w:t>
      </w:r>
      <w:r>
        <w:tab/>
      </w:r>
      <w:r w:rsidR="00913FB4">
        <w:tab/>
      </w:r>
      <w:r w:rsidR="00913FB4">
        <w:tab/>
        <w:t>Copied over from 2011</w:t>
      </w:r>
    </w:p>
    <w:p w14:paraId="214A9EE2" w14:textId="245EA489" w:rsidR="006854D6" w:rsidRDefault="006854D6" w:rsidP="006854D6">
      <w:r>
        <w:t>Health External</w:t>
      </w:r>
      <w:r>
        <w:tab/>
      </w:r>
      <w:r w:rsidR="00913FB4">
        <w:tab/>
      </w:r>
      <w:r w:rsidR="00913FB4">
        <w:tab/>
        <w:t>Re-sourced from WB data portal.</w:t>
      </w:r>
    </w:p>
    <w:p w14:paraId="46BE06DD" w14:textId="5DDAF24F" w:rsidR="006854D6" w:rsidRDefault="006854D6" w:rsidP="006854D6">
      <w:r>
        <w:t>Health Matern</w:t>
      </w:r>
      <w:r w:rsidR="00913FB4">
        <w:t>al</w:t>
      </w:r>
      <w:r>
        <w:tab/>
      </w:r>
      <w:r w:rsidR="00913FB4">
        <w:tab/>
      </w:r>
      <w:r w:rsidR="00913FB4">
        <w:tab/>
        <w:t>Re-sourced from WB data portal.</w:t>
      </w:r>
    </w:p>
    <w:p w14:paraId="031A200F" w14:textId="0EE7201B" w:rsidR="006854D6" w:rsidRDefault="006854D6" w:rsidP="006854D6">
      <w:r>
        <w:t>Coast Area</w:t>
      </w:r>
      <w:r>
        <w:tab/>
      </w:r>
      <w:r w:rsidR="00913FB4">
        <w:tab/>
      </w:r>
      <w:r w:rsidR="00913FB4">
        <w:tab/>
      </w:r>
      <w:r w:rsidR="00913FB4">
        <w:tab/>
        <w:t>Copied over from 2011</w:t>
      </w:r>
    </w:p>
    <w:p w14:paraId="1C4C95C6" w14:textId="5DC84CB3" w:rsidR="006854D6" w:rsidRDefault="006854D6" w:rsidP="006854D6">
      <w:r>
        <w:t>Coast Pop</w:t>
      </w:r>
      <w:r w:rsidR="00913FB4">
        <w:t>ulation</w:t>
      </w:r>
      <w:r>
        <w:tab/>
      </w:r>
      <w:r w:rsidR="00913FB4">
        <w:tab/>
      </w:r>
      <w:r w:rsidR="00913FB4">
        <w:tab/>
      </w:r>
      <w:r>
        <w:t>Copied over from 2011</w:t>
      </w:r>
    </w:p>
    <w:p w14:paraId="411A9ADC" w14:textId="0950A9C8" w:rsidR="006854D6" w:rsidRDefault="006854D6" w:rsidP="006854D6">
      <w:r>
        <w:t>Energy Access</w:t>
      </w:r>
      <w:r>
        <w:tab/>
      </w:r>
      <w:r w:rsidR="00913FB4">
        <w:tab/>
      </w:r>
      <w:r w:rsidR="00913FB4">
        <w:tab/>
      </w:r>
      <w:r>
        <w:t>Copied over from 2011</w:t>
      </w:r>
    </w:p>
    <w:p w14:paraId="34B3B0CE" w14:textId="27E4668B" w:rsidR="006854D6" w:rsidRDefault="006854D6" w:rsidP="006854D6">
      <w:r>
        <w:t>Energy Sensit</w:t>
      </w:r>
      <w:r w:rsidR="00913FB4">
        <w:t>ivity</w:t>
      </w:r>
      <w:r w:rsidR="00913FB4">
        <w:tab/>
      </w:r>
      <w:r w:rsidR="00913FB4">
        <w:tab/>
      </w:r>
      <w:r w:rsidR="00913FB4">
        <w:tab/>
        <w:t xml:space="preserve">Secondary. Re-sourced. </w:t>
      </w:r>
      <w:r>
        <w:t>Now is not static</w:t>
      </w:r>
    </w:p>
    <w:p w14:paraId="6C92A23B" w14:textId="21467C63" w:rsidR="006854D6" w:rsidRDefault="00913FB4" w:rsidP="00913FB4">
      <w:pPr>
        <w:ind w:firstLine="720"/>
      </w:pPr>
      <w:r>
        <w:t>Imports</w:t>
      </w:r>
      <w:r>
        <w:tab/>
      </w:r>
      <w:r>
        <w:tab/>
      </w:r>
      <w:r>
        <w:tab/>
        <w:t>Re-Sourced from WB data portal.</w:t>
      </w:r>
    </w:p>
    <w:p w14:paraId="506691A4" w14:textId="1DC4C857" w:rsidR="006854D6" w:rsidRDefault="00913FB4" w:rsidP="00913FB4">
      <w:pPr>
        <w:ind w:firstLine="720"/>
      </w:pPr>
      <w:r>
        <w:t>Hydro</w:t>
      </w:r>
      <w:r w:rsidR="006854D6">
        <w:tab/>
      </w:r>
      <w:r>
        <w:tab/>
      </w:r>
      <w:r>
        <w:tab/>
      </w:r>
      <w:r>
        <w:tab/>
        <w:t>Re-Sourced from WB data portal.</w:t>
      </w:r>
    </w:p>
    <w:p w14:paraId="09EE231D" w14:textId="498A0C12" w:rsidR="006854D6" w:rsidRDefault="00913FB4" w:rsidP="006854D6">
      <w:r>
        <w:t>Road Floods</w:t>
      </w:r>
      <w:r w:rsidR="006854D6">
        <w:tab/>
      </w:r>
      <w:r>
        <w:tab/>
      </w:r>
      <w:r>
        <w:tab/>
      </w:r>
      <w:r>
        <w:tab/>
      </w:r>
      <w:r w:rsidR="006854D6">
        <w:t>Copied over from 2011</w:t>
      </w:r>
    </w:p>
    <w:p w14:paraId="0FC5BD8B" w14:textId="4A8116F1" w:rsidR="006854D6" w:rsidRDefault="006854D6" w:rsidP="006854D6">
      <w:r>
        <w:t>Road Paved</w:t>
      </w:r>
      <w:r>
        <w:tab/>
      </w:r>
      <w:r w:rsidR="00913FB4">
        <w:tab/>
      </w:r>
      <w:r w:rsidR="00913FB4">
        <w:tab/>
      </w:r>
      <w:r w:rsidR="00913FB4">
        <w:tab/>
        <w:t>Re-Sourced from WB data portal</w:t>
      </w:r>
    </w:p>
    <w:p w14:paraId="30054534" w14:textId="6FF5F9E7" w:rsidR="006854D6" w:rsidRDefault="006854D6" w:rsidP="006854D6">
      <w:r>
        <w:t>R-IEF Business free</w:t>
      </w:r>
      <w:r w:rsidR="00913FB4">
        <w:tab/>
      </w:r>
      <w:r>
        <w:tab/>
      </w:r>
      <w:r w:rsidR="00913FB4">
        <w:tab/>
        <w:t>Copied over from 2011</w:t>
      </w:r>
      <w:r>
        <w:t xml:space="preserve"> +1 column</w:t>
      </w:r>
    </w:p>
    <w:p w14:paraId="553CAF36" w14:textId="5CF0A154" w:rsidR="006854D6" w:rsidRDefault="00913FB4" w:rsidP="006854D6">
      <w:r>
        <w:t>R-IEF Finan free</w:t>
      </w:r>
      <w:r w:rsidR="006854D6">
        <w:tab/>
      </w:r>
      <w:r>
        <w:tab/>
      </w:r>
      <w:r>
        <w:tab/>
        <w:t>Copied over from 2011 +1 column</w:t>
      </w:r>
    </w:p>
    <w:p w14:paraId="141A83DC" w14:textId="3F82939D" w:rsidR="006854D6" w:rsidRDefault="006854D6" w:rsidP="006854D6">
      <w:r>
        <w:t>R-IEF Fiscal Free</w:t>
      </w:r>
      <w:r>
        <w:tab/>
      </w:r>
      <w:r w:rsidR="00913FB4">
        <w:tab/>
      </w:r>
      <w:r w:rsidR="00913FB4">
        <w:tab/>
        <w:t>Copied over from 2011 +1 column</w:t>
      </w:r>
    </w:p>
    <w:p w14:paraId="58414F36" w14:textId="6A835BC2" w:rsidR="006854D6" w:rsidRDefault="006854D6" w:rsidP="006854D6">
      <w:r>
        <w:t>R-IEF Gov Spending</w:t>
      </w:r>
      <w:r w:rsidR="00913FB4">
        <w:tab/>
      </w:r>
      <w:r>
        <w:tab/>
      </w:r>
      <w:r w:rsidR="00913FB4">
        <w:tab/>
        <w:t>Copied over from 2011 +1 column</w:t>
      </w:r>
    </w:p>
    <w:p w14:paraId="5C889E9C" w14:textId="36C09527" w:rsidR="006854D6" w:rsidRDefault="00913FB4" w:rsidP="006854D6">
      <w:r>
        <w:t>R-IEF Invest Free</w:t>
      </w:r>
      <w:r>
        <w:tab/>
      </w:r>
      <w:r>
        <w:tab/>
      </w:r>
      <w:r>
        <w:tab/>
        <w:t>Copied over from 2011 +1 column</w:t>
      </w:r>
    </w:p>
    <w:p w14:paraId="0039B844" w14:textId="0149DB3A" w:rsidR="006854D6" w:rsidRDefault="006854D6" w:rsidP="006854D6">
      <w:r>
        <w:lastRenderedPageBreak/>
        <w:t>R-IEF Monetary Free</w:t>
      </w:r>
      <w:r w:rsidR="00913FB4">
        <w:tab/>
      </w:r>
      <w:r>
        <w:tab/>
      </w:r>
      <w:r w:rsidR="00913FB4">
        <w:tab/>
        <w:t>Copied over from 2011 +1 column</w:t>
      </w:r>
    </w:p>
    <w:p w14:paraId="415ECA44" w14:textId="5FB2DFBA" w:rsidR="006854D6" w:rsidRDefault="00913FB4" w:rsidP="006854D6">
      <w:r>
        <w:t>R-IEF Trade Free</w:t>
      </w:r>
      <w:r>
        <w:tab/>
      </w:r>
      <w:r w:rsidR="006854D6">
        <w:tab/>
      </w:r>
      <w:r>
        <w:tab/>
        <w:t>Copied over from 2011 +1 column</w:t>
      </w:r>
    </w:p>
    <w:p w14:paraId="6C826A12" w14:textId="476C5EA4" w:rsidR="006854D6" w:rsidRDefault="00913FB4" w:rsidP="006854D6">
      <w:r>
        <w:t>R-WGI psnv</w:t>
      </w:r>
      <w:r>
        <w:tab/>
      </w:r>
      <w:r w:rsidR="006854D6">
        <w:tab/>
      </w:r>
      <w:r>
        <w:tab/>
      </w:r>
      <w:r>
        <w:tab/>
        <w:t>Re-Sourced from WGI data files.</w:t>
      </w:r>
    </w:p>
    <w:p w14:paraId="622C14D2" w14:textId="386A5044" w:rsidR="006854D6" w:rsidRDefault="006854D6" w:rsidP="006854D6">
      <w:r>
        <w:t>R-WGI va.xls</w:t>
      </w:r>
      <w:r>
        <w:tab/>
      </w:r>
      <w:r w:rsidR="00913FB4">
        <w:tab/>
      </w:r>
      <w:r w:rsidR="00913FB4">
        <w:tab/>
      </w:r>
      <w:r w:rsidR="00913FB4">
        <w:tab/>
        <w:t>Re-Sourced from WGI data files.</w:t>
      </w:r>
    </w:p>
    <w:p w14:paraId="5027A5DD" w14:textId="575F8E57" w:rsidR="006854D6" w:rsidRDefault="006854D6" w:rsidP="006854D6">
      <w:r>
        <w:t>R-WGI cc.xls</w:t>
      </w:r>
      <w:r>
        <w:tab/>
      </w:r>
      <w:r w:rsidR="00913FB4">
        <w:tab/>
      </w:r>
      <w:r w:rsidR="00913FB4">
        <w:tab/>
      </w:r>
      <w:r w:rsidR="00913FB4">
        <w:tab/>
        <w:t>Re-Sourced from WGI data files.</w:t>
      </w:r>
    </w:p>
    <w:p w14:paraId="1C12E681" w14:textId="7E9895F6" w:rsidR="006854D6" w:rsidRDefault="006854D6" w:rsidP="006854D6">
      <w:r>
        <w:t>r-mobiles.xls</w:t>
      </w:r>
      <w:r>
        <w:tab/>
      </w:r>
      <w:r w:rsidR="00913FB4">
        <w:tab/>
      </w:r>
      <w:r w:rsidR="00913FB4">
        <w:tab/>
      </w:r>
      <w:r w:rsidR="00913FB4">
        <w:tab/>
        <w:t>Re-Sourced from WB data portal.</w:t>
      </w:r>
    </w:p>
    <w:p w14:paraId="1C21A6D3" w14:textId="18A586C1" w:rsidR="006854D6" w:rsidRDefault="006854D6" w:rsidP="006854D6">
      <w:r>
        <w:t>R-enrollment.xls</w:t>
      </w:r>
      <w:r>
        <w:tab/>
      </w:r>
      <w:r w:rsidR="00913FB4">
        <w:tab/>
      </w:r>
      <w:r w:rsidR="00913FB4">
        <w:tab/>
        <w:t>Re-Sourced from WB data portal.</w:t>
      </w:r>
    </w:p>
    <w:p w14:paraId="5209BCD3" w14:textId="621127B9" w:rsidR="006854D6" w:rsidRDefault="006854D6" w:rsidP="006854D6">
      <w:r>
        <w:t>R-WGI rl.xls</w:t>
      </w:r>
      <w:r>
        <w:tab/>
      </w:r>
      <w:r w:rsidR="00913FB4">
        <w:tab/>
      </w:r>
      <w:r w:rsidR="00913FB4">
        <w:tab/>
      </w:r>
      <w:r w:rsidR="00913FB4">
        <w:tab/>
        <w:t>Re-Sourced from WGI data files.</w:t>
      </w:r>
    </w:p>
    <w:p w14:paraId="5A9DD221" w14:textId="514C1DEB" w:rsidR="006854D6" w:rsidRDefault="006854D6" w:rsidP="006854D6">
      <w:r>
        <w:t>R-IEF Labor Free.xls</w:t>
      </w:r>
      <w:r>
        <w:tab/>
      </w:r>
      <w:r w:rsidR="00913FB4">
        <w:tab/>
      </w:r>
      <w:r w:rsidR="00913FB4">
        <w:tab/>
        <w:t>Copied over from 2011 +1 column</w:t>
      </w:r>
    </w:p>
    <w:p w14:paraId="3A246E11" w14:textId="332FD872" w:rsidR="006854D6" w:rsidRDefault="006854D6" w:rsidP="006854D6">
      <w:r>
        <w:t>X-GDP pc.xls</w:t>
      </w:r>
      <w:r>
        <w:tab/>
      </w:r>
      <w:r w:rsidR="00913FB4">
        <w:tab/>
      </w:r>
      <w:r w:rsidR="00913FB4">
        <w:tab/>
      </w:r>
      <w:r w:rsidR="00913FB4">
        <w:tab/>
        <w:t>Re-Sourced from WB data portal.</w:t>
      </w:r>
    </w:p>
    <w:p w14:paraId="294EBAB0" w14:textId="77777777" w:rsidR="00CC20B4" w:rsidRDefault="00CC20B4" w:rsidP="006E57EF"/>
    <w:p w14:paraId="37F558E3" w14:textId="2D284FB9" w:rsidR="00B14299" w:rsidRDefault="006A0441" w:rsidP="006E57EF">
      <w:r>
        <w:t>*</w:t>
      </w:r>
      <w:r w:rsidRPr="008B4A7D">
        <w:rPr>
          <w:b/>
        </w:rPr>
        <w:t>Agricultural capacity</w:t>
      </w:r>
      <w:r w:rsidR="008E0EEC" w:rsidRPr="008B4A7D">
        <w:rPr>
          <w:b/>
        </w:rPr>
        <w:t>:</w:t>
      </w:r>
      <w:r w:rsidR="008E0EEC">
        <w:t xml:space="preserve"> </w:t>
      </w:r>
      <w:r w:rsidR="00804B0E">
        <w:t xml:space="preserve"> We use 3 numbers, as before: Machinery use, Use of fertilizers and Irrigated land: </w:t>
      </w:r>
    </w:p>
    <w:p w14:paraId="02C34005" w14:textId="0BF96032" w:rsidR="008B4A7D" w:rsidRDefault="008B4A7D" w:rsidP="000A5FAC">
      <w:r>
        <w:t>- 3/</w:t>
      </w:r>
      <w:r w:rsidRPr="008B4A7D">
        <w:t>3 availab</w:t>
      </w:r>
      <w:r w:rsidR="00804B0E">
        <w:t>le numbers: Average of two best</w:t>
      </w:r>
      <w:r w:rsidRPr="008B4A7D">
        <w:t>.</w:t>
      </w:r>
      <w:r w:rsidRPr="008B4A7D">
        <w:br/>
      </w:r>
      <w:r>
        <w:t xml:space="preserve">- </w:t>
      </w:r>
      <w:r w:rsidRPr="008B4A7D">
        <w:t>2</w:t>
      </w:r>
      <w:r>
        <w:t>/3</w:t>
      </w:r>
      <w:r w:rsidRPr="008B4A7D">
        <w:t xml:space="preserve"> available numbers: Average.</w:t>
      </w:r>
      <w:r w:rsidRPr="008B4A7D">
        <w:br/>
      </w:r>
      <w:r>
        <w:t xml:space="preserve">- </w:t>
      </w:r>
      <w:r w:rsidRPr="008B4A7D">
        <w:t>1</w:t>
      </w:r>
      <w:r>
        <w:t>/3</w:t>
      </w:r>
      <w:r w:rsidR="00804B0E">
        <w:t xml:space="preserve"> available number:</w:t>
      </w:r>
      <w:r w:rsidR="00517E63" w:rsidRPr="008B4A7D">
        <w:t xml:space="preserve"> Insert N/A</w:t>
      </w:r>
      <w:r w:rsidRPr="008B4A7D">
        <w:t>.</w:t>
      </w:r>
      <w:r w:rsidRPr="008B4A7D">
        <w:br/>
      </w:r>
      <w:r>
        <w:t xml:space="preserve">- </w:t>
      </w:r>
      <w:r w:rsidRPr="008B4A7D">
        <w:t>0</w:t>
      </w:r>
      <w:r>
        <w:t>/3</w:t>
      </w:r>
      <w:r w:rsidRPr="008B4A7D">
        <w:t xml:space="preserve"> available numbers: Insert N/A</w:t>
      </w:r>
    </w:p>
    <w:p w14:paraId="3959E144" w14:textId="0522AB06" w:rsidR="00957D61" w:rsidRDefault="00957D61" w:rsidP="000A5FAC">
      <w:pPr>
        <w:pStyle w:val="Heading2"/>
      </w:pPr>
      <w:bookmarkStart w:id="12" w:name="_Toc205256435"/>
      <w:r w:rsidRPr="00957D61">
        <w:t>Re</w:t>
      </w:r>
      <w:r w:rsidR="00CC20B4">
        <w:t>-</w:t>
      </w:r>
      <w:r w:rsidRPr="00957D61">
        <w:t>sourced data</w:t>
      </w:r>
      <w:bookmarkEnd w:id="12"/>
    </w:p>
    <w:p w14:paraId="1D550C12" w14:textId="77777777" w:rsidR="00957D61" w:rsidRDefault="00957D61" w:rsidP="008B4A7D"/>
    <w:p w14:paraId="439A7D91" w14:textId="64CD07F5" w:rsidR="00A1756F" w:rsidRDefault="00957D61" w:rsidP="008B4A7D">
      <w:r>
        <w:t>We have run comparison</w:t>
      </w:r>
      <w:r w:rsidR="00317D4F">
        <w:t>s</w:t>
      </w:r>
      <w:r>
        <w:t xml:space="preserve"> of the input data (“Raw0”) used for </w:t>
      </w:r>
      <w:r w:rsidR="00317D4F">
        <w:t xml:space="preserve">the GAIN Index </w:t>
      </w:r>
      <w:r>
        <w:t>2011</w:t>
      </w:r>
      <w:r w:rsidR="003F3632">
        <w:t xml:space="preserve"> Legacy</w:t>
      </w:r>
      <w:r>
        <w:t xml:space="preserve"> and the re-sourced data for </w:t>
      </w:r>
      <w:r w:rsidR="00317D4F">
        <w:t xml:space="preserve">the GAIN Index </w:t>
      </w:r>
      <w:r>
        <w:t>2012</w:t>
      </w:r>
      <w:r w:rsidR="003F3632">
        <w:t xml:space="preserve"> Update</w:t>
      </w:r>
      <w:r>
        <w:t xml:space="preserve">. In most cases we find none to few </w:t>
      </w:r>
      <w:r w:rsidR="00317D4F">
        <w:t xml:space="preserve">minor </w:t>
      </w:r>
      <w:r>
        <w:t>differences</w:t>
      </w:r>
      <w:r w:rsidR="00317D4F">
        <w:t xml:space="preserve"> —</w:t>
      </w:r>
      <w:r>
        <w:t xml:space="preserve"> </w:t>
      </w:r>
      <w:r w:rsidR="00317D4F">
        <w:t>no more</w:t>
      </w:r>
      <w:r>
        <w:t xml:space="preserve"> than 5% of the numbers differ </w:t>
      </w:r>
      <w:r w:rsidR="00317D4F">
        <w:t xml:space="preserve">more </w:t>
      </w:r>
      <w:r>
        <w:t>than 10%.</w:t>
      </w:r>
      <w:r w:rsidR="00A1756F">
        <w:t xml:space="preserve"> In </w:t>
      </w:r>
      <w:r w:rsidR="0088034B">
        <w:t>three</w:t>
      </w:r>
      <w:r w:rsidR="00A1756F">
        <w:t xml:space="preserve"> cases, </w:t>
      </w:r>
      <w:r w:rsidR="003F3632">
        <w:t xml:space="preserve">however, </w:t>
      </w:r>
      <w:r w:rsidR="00A1756F">
        <w:t>differences were significant</w:t>
      </w:r>
      <w:r w:rsidR="0088034B">
        <w:t xml:space="preserve"> (we are investigating this Issue)</w:t>
      </w:r>
      <w:r w:rsidR="00A1756F">
        <w:t>:</w:t>
      </w:r>
    </w:p>
    <w:p w14:paraId="4823B7F5" w14:textId="18CFF461" w:rsidR="00957D61" w:rsidRDefault="00A1756F" w:rsidP="008B4A7D">
      <w:r>
        <w:t xml:space="preserve"> </w:t>
      </w:r>
    </w:p>
    <w:p w14:paraId="5CA444DE" w14:textId="0884BD73" w:rsidR="00957D61" w:rsidRDefault="00957D61" w:rsidP="00957D61">
      <w:pPr>
        <w:pStyle w:val="ListParagraph"/>
        <w:numPr>
          <w:ilvl w:val="0"/>
          <w:numId w:val="2"/>
        </w:numPr>
      </w:pPr>
      <w:r>
        <w:t xml:space="preserve">Agricultural Malnutrition. </w:t>
      </w:r>
      <w:r w:rsidR="009451CF" w:rsidRPr="009451CF">
        <w:t>Significant difference in about 50% of the data points were noted and traced to the use of data from an earlier attempt to derive information on malnutrition rather than from the WDI data as stated in the documentation.  This has now been corrected.</w:t>
      </w:r>
    </w:p>
    <w:p w14:paraId="0CF26312" w14:textId="422A243F" w:rsidR="00A1756F" w:rsidRDefault="00A1756F" w:rsidP="00A1756F">
      <w:pPr>
        <w:pStyle w:val="ListParagraph"/>
        <w:numPr>
          <w:ilvl w:val="0"/>
          <w:numId w:val="2"/>
        </w:numPr>
      </w:pPr>
      <w:r>
        <w:t>World Development Indicators. There are differences scattered according to countries and year. Up to 40% of numbers differ 10% or more. Up to 10% differ more than 50%.</w:t>
      </w:r>
    </w:p>
    <w:p w14:paraId="78EC1E39" w14:textId="330A8686" w:rsidR="00804B0E" w:rsidRPr="008B4A7D" w:rsidRDefault="00804B0E" w:rsidP="00A1756F">
      <w:pPr>
        <w:pStyle w:val="ListParagraph"/>
        <w:numPr>
          <w:ilvl w:val="0"/>
          <w:numId w:val="2"/>
        </w:numPr>
      </w:pPr>
      <w:r>
        <w:t>Results for Agricultural Capacity a</w:t>
      </w:r>
      <w:r w:rsidR="0088034B">
        <w:t>re also off. Re-sourced data has scattered differences.</w:t>
      </w:r>
    </w:p>
    <w:p w14:paraId="4333A7D2" w14:textId="5D7E836D" w:rsidR="008E0EEC" w:rsidRDefault="008B4A7D" w:rsidP="008B4A7D">
      <w:pPr>
        <w:pStyle w:val="Heading3"/>
      </w:pPr>
      <w:bookmarkStart w:id="13" w:name="_Toc205256436"/>
      <w:r>
        <w:t>Tolerance for missing numbers</w:t>
      </w:r>
      <w:bookmarkEnd w:id="13"/>
    </w:p>
    <w:p w14:paraId="4334D93B" w14:textId="77777777" w:rsidR="008B4A7D" w:rsidRDefault="008B4A7D" w:rsidP="006E57EF"/>
    <w:p w14:paraId="5984C204" w14:textId="2E92A5DB" w:rsidR="008B4A7D" w:rsidRDefault="008B4A7D" w:rsidP="006E57EF">
      <w:r>
        <w:t xml:space="preserve">Whenever a measure is not available for a particular year we use </w:t>
      </w:r>
      <w:r w:rsidR="00426618">
        <w:t xml:space="preserve">a standard </w:t>
      </w:r>
      <w:r>
        <w:t xml:space="preserve">algorithm to interpolate </w:t>
      </w:r>
      <w:r w:rsidR="00426618">
        <w:t>and/</w:t>
      </w:r>
      <w:r>
        <w:t xml:space="preserve">or extrapolate it. If no </w:t>
      </w:r>
      <w:r w:rsidR="005E0B24">
        <w:t xml:space="preserve">data are </w:t>
      </w:r>
      <w:r>
        <w:t xml:space="preserve">available for </w:t>
      </w:r>
      <w:r w:rsidR="005E0B24">
        <w:t>a country</w:t>
      </w:r>
      <w:r>
        <w:t xml:space="preserve">, the </w:t>
      </w:r>
      <w:r w:rsidR="00CC20B4">
        <w:t>m</w:t>
      </w:r>
      <w:r>
        <w:t>easure is dropped</w:t>
      </w:r>
      <w:r w:rsidR="005E0B24">
        <w:t xml:space="preserve"> for that country</w:t>
      </w:r>
      <w:r>
        <w:t>.</w:t>
      </w:r>
    </w:p>
    <w:p w14:paraId="7BDE00BD" w14:textId="77777777" w:rsidR="008B4A7D" w:rsidRDefault="008B4A7D" w:rsidP="006E57EF"/>
    <w:p w14:paraId="43123560" w14:textId="7DAB5996" w:rsidR="008B4A7D" w:rsidRDefault="005E0B24" w:rsidP="006E57EF">
      <w:r>
        <w:t xml:space="preserve">Analyses while developing the </w:t>
      </w:r>
      <w:r w:rsidR="00CC20B4">
        <w:t xml:space="preserve">2011 index </w:t>
      </w:r>
      <w:r>
        <w:t>showed that</w:t>
      </w:r>
      <w:r w:rsidR="008B4A7D">
        <w:t xml:space="preserve"> a country </w:t>
      </w:r>
      <w:r>
        <w:t xml:space="preserve">could </w:t>
      </w:r>
      <w:r w:rsidR="008B4A7D">
        <w:t xml:space="preserve">have </w:t>
      </w:r>
      <w:r>
        <w:t>up to a third</w:t>
      </w:r>
      <w:r w:rsidR="00CC20B4">
        <w:t xml:space="preserve"> </w:t>
      </w:r>
      <w:r>
        <w:t xml:space="preserve">of its measures </w:t>
      </w:r>
      <w:r w:rsidR="008B4A7D">
        <w:t xml:space="preserve">missing </w:t>
      </w:r>
      <w:r>
        <w:t>as still have a reasonable estimate of its</w:t>
      </w:r>
      <w:r w:rsidR="003F3632">
        <w:t xml:space="preserve"> I</w:t>
      </w:r>
      <w:r w:rsidR="00CC20B4">
        <w:t>ndex</w:t>
      </w:r>
      <w:r w:rsidR="00CC3A5B">
        <w:t xml:space="preserve">. </w:t>
      </w:r>
      <w:r w:rsidR="00A40986">
        <w:t xml:space="preserve">In the 2012 Index we allow a quarter </w:t>
      </w:r>
      <w:r w:rsidR="009845F9">
        <w:t xml:space="preserve">to a third </w:t>
      </w:r>
      <w:r w:rsidR="00A40986">
        <w:t>of the measures to be missing for any component of the Index to be calculated</w:t>
      </w:r>
      <w:r w:rsidR="008B4A7D">
        <w:t>.</w:t>
      </w:r>
    </w:p>
    <w:p w14:paraId="356BF775" w14:textId="77777777" w:rsidR="00542993" w:rsidRDefault="00542993" w:rsidP="006E57EF"/>
    <w:p w14:paraId="765316CC" w14:textId="50F8AEB0" w:rsidR="008B4A7D" w:rsidRDefault="008B4A7D" w:rsidP="006E57EF">
      <w:r>
        <w:t xml:space="preserve">For </w:t>
      </w:r>
      <w:r w:rsidR="00CC20B4">
        <w:t xml:space="preserve">the </w:t>
      </w:r>
      <w:r>
        <w:t xml:space="preserve">2012 </w:t>
      </w:r>
      <w:r w:rsidR="00CC20B4">
        <w:t xml:space="preserve">index </w:t>
      </w:r>
      <w:r>
        <w:t xml:space="preserve">we propose </w:t>
      </w:r>
      <w:r w:rsidR="00CC3A5B">
        <w:t>a tolerance of ~7</w:t>
      </w:r>
      <w:r w:rsidR="00843BE4">
        <w:t xml:space="preserve">5%, as shown on </w:t>
      </w:r>
      <w:r>
        <w:t>this table:</w:t>
      </w:r>
    </w:p>
    <w:p w14:paraId="00B4BB68" w14:textId="77777777" w:rsidR="008B4A7D" w:rsidRDefault="008B4A7D" w:rsidP="006E57EF"/>
    <w:tbl>
      <w:tblPr>
        <w:tblW w:w="4339" w:type="dxa"/>
        <w:jc w:val="center"/>
        <w:tblInd w:w="103" w:type="dxa"/>
        <w:tblLook w:val="04A0" w:firstRow="1" w:lastRow="0" w:firstColumn="1" w:lastColumn="0" w:noHBand="0" w:noVBand="1"/>
      </w:tblPr>
      <w:tblGrid>
        <w:gridCol w:w="1570"/>
        <w:gridCol w:w="1461"/>
        <w:gridCol w:w="1308"/>
      </w:tblGrid>
      <w:tr w:rsidR="00A40986" w:rsidRPr="00843BE4" w14:paraId="40B2E716" w14:textId="77777777" w:rsidTr="00B01FE2">
        <w:trPr>
          <w:trHeight w:val="300"/>
          <w:jc w:val="center"/>
        </w:trPr>
        <w:tc>
          <w:tcPr>
            <w:tcW w:w="1570" w:type="dxa"/>
            <w:tcBorders>
              <w:top w:val="single" w:sz="4" w:space="0" w:color="auto"/>
              <w:left w:val="single" w:sz="4" w:space="0" w:color="auto"/>
              <w:bottom w:val="nil"/>
              <w:right w:val="nil"/>
            </w:tcBorders>
            <w:shd w:val="clear" w:color="auto" w:fill="auto"/>
            <w:noWrap/>
            <w:vAlign w:val="center"/>
            <w:hideMark/>
          </w:tcPr>
          <w:p w14:paraId="329F15AB" w14:textId="2DFDB978" w:rsidR="00A40986" w:rsidRPr="00843BE4" w:rsidRDefault="00A40986" w:rsidP="00843BE4">
            <w:pPr>
              <w:jc w:val="center"/>
              <w:rPr>
                <w:rFonts w:ascii="Calibri" w:eastAsia="Times New Roman" w:hAnsi="Calibri" w:cs="Times New Roman"/>
                <w:color w:val="000000"/>
              </w:rPr>
            </w:pPr>
          </w:p>
        </w:tc>
        <w:tc>
          <w:tcPr>
            <w:tcW w:w="1461" w:type="dxa"/>
            <w:tcBorders>
              <w:top w:val="single" w:sz="4" w:space="0" w:color="auto"/>
              <w:left w:val="nil"/>
              <w:bottom w:val="nil"/>
              <w:right w:val="nil"/>
            </w:tcBorders>
            <w:shd w:val="clear" w:color="auto" w:fill="auto"/>
            <w:noWrap/>
            <w:vAlign w:val="center"/>
            <w:hideMark/>
          </w:tcPr>
          <w:p w14:paraId="1C0F229B" w14:textId="77777777" w:rsidR="00A40986" w:rsidRPr="00843BE4" w:rsidRDefault="00A40986" w:rsidP="00843BE4">
            <w:pPr>
              <w:jc w:val="center"/>
              <w:rPr>
                <w:rFonts w:ascii="Calibri" w:eastAsia="Times New Roman" w:hAnsi="Calibri" w:cs="Times New Roman"/>
                <w:color w:val="000000"/>
              </w:rPr>
            </w:pPr>
            <w:r w:rsidRPr="00843BE4">
              <w:rPr>
                <w:rFonts w:ascii="Calibri" w:eastAsia="Times New Roman" w:hAnsi="Calibri" w:cs="Times New Roman"/>
                <w:color w:val="000000"/>
              </w:rPr>
              <w:t>Components</w:t>
            </w:r>
          </w:p>
        </w:tc>
        <w:tc>
          <w:tcPr>
            <w:tcW w:w="1308" w:type="dxa"/>
            <w:tcBorders>
              <w:top w:val="single" w:sz="4" w:space="0" w:color="auto"/>
              <w:left w:val="nil"/>
              <w:bottom w:val="nil"/>
              <w:right w:val="single" w:sz="4" w:space="0" w:color="auto"/>
            </w:tcBorders>
            <w:shd w:val="clear" w:color="auto" w:fill="auto"/>
            <w:noWrap/>
            <w:vAlign w:val="center"/>
            <w:hideMark/>
          </w:tcPr>
          <w:p w14:paraId="603086DE" w14:textId="77777777" w:rsidR="00A40986" w:rsidRPr="00843BE4" w:rsidRDefault="00A40986" w:rsidP="00843BE4">
            <w:pPr>
              <w:jc w:val="center"/>
              <w:rPr>
                <w:rFonts w:ascii="Calibri" w:eastAsia="Times New Roman" w:hAnsi="Calibri" w:cs="Times New Roman"/>
                <w:b/>
                <w:bCs/>
                <w:color w:val="000000"/>
              </w:rPr>
            </w:pPr>
            <w:r w:rsidRPr="00843BE4">
              <w:rPr>
                <w:rFonts w:ascii="Calibri" w:eastAsia="Times New Roman" w:hAnsi="Calibri" w:cs="Times New Roman"/>
                <w:b/>
                <w:bCs/>
                <w:color w:val="000000"/>
              </w:rPr>
              <w:t>at least</w:t>
            </w:r>
          </w:p>
        </w:tc>
      </w:tr>
      <w:tr w:rsidR="00A40986" w:rsidRPr="00843BE4" w14:paraId="4A260749" w14:textId="77777777" w:rsidTr="00B01FE2">
        <w:trPr>
          <w:trHeight w:val="300"/>
          <w:jc w:val="center"/>
        </w:trPr>
        <w:tc>
          <w:tcPr>
            <w:tcW w:w="1570" w:type="dxa"/>
            <w:tcBorders>
              <w:top w:val="nil"/>
              <w:left w:val="single" w:sz="4" w:space="0" w:color="auto"/>
              <w:bottom w:val="nil"/>
              <w:right w:val="nil"/>
            </w:tcBorders>
            <w:shd w:val="clear" w:color="000000" w:fill="D8E4BC"/>
            <w:noWrap/>
            <w:vAlign w:val="center"/>
            <w:hideMark/>
          </w:tcPr>
          <w:p w14:paraId="2A581B2C" w14:textId="77777777" w:rsidR="00A40986" w:rsidRPr="00843BE4" w:rsidRDefault="00A40986" w:rsidP="00843BE4">
            <w:pPr>
              <w:jc w:val="center"/>
              <w:rPr>
                <w:rFonts w:ascii="Calibri" w:eastAsia="Times New Roman" w:hAnsi="Calibri" w:cs="Times New Roman"/>
                <w:color w:val="000000"/>
              </w:rPr>
            </w:pPr>
            <w:r w:rsidRPr="00843BE4">
              <w:rPr>
                <w:rFonts w:ascii="Calibri" w:eastAsia="Times New Roman" w:hAnsi="Calibri" w:cs="Times New Roman"/>
                <w:color w:val="000000"/>
              </w:rPr>
              <w:t>Water</w:t>
            </w:r>
          </w:p>
        </w:tc>
        <w:tc>
          <w:tcPr>
            <w:tcW w:w="1461" w:type="dxa"/>
            <w:tcBorders>
              <w:top w:val="single" w:sz="4" w:space="0" w:color="auto"/>
              <w:left w:val="nil"/>
              <w:bottom w:val="nil"/>
              <w:right w:val="single" w:sz="4" w:space="0" w:color="auto"/>
            </w:tcBorders>
            <w:shd w:val="clear" w:color="auto" w:fill="auto"/>
            <w:noWrap/>
            <w:vAlign w:val="center"/>
            <w:hideMark/>
          </w:tcPr>
          <w:p w14:paraId="11173B35" w14:textId="77777777" w:rsidR="00A40986" w:rsidRPr="00843BE4" w:rsidRDefault="00A40986" w:rsidP="00843BE4">
            <w:pPr>
              <w:jc w:val="center"/>
              <w:rPr>
                <w:rFonts w:ascii="Calibri" w:eastAsia="Times New Roman" w:hAnsi="Calibri" w:cs="Times New Roman"/>
                <w:color w:val="000000"/>
              </w:rPr>
            </w:pPr>
            <w:r w:rsidRPr="00843BE4">
              <w:rPr>
                <w:rFonts w:ascii="Calibri" w:eastAsia="Times New Roman" w:hAnsi="Calibri" w:cs="Times New Roman"/>
                <w:color w:val="000000"/>
              </w:rPr>
              <w:t>6</w:t>
            </w:r>
          </w:p>
        </w:tc>
        <w:tc>
          <w:tcPr>
            <w:tcW w:w="1308" w:type="dxa"/>
            <w:tcBorders>
              <w:top w:val="nil"/>
              <w:left w:val="nil"/>
              <w:bottom w:val="nil"/>
              <w:right w:val="single" w:sz="4" w:space="0" w:color="auto"/>
            </w:tcBorders>
            <w:shd w:val="clear" w:color="000000" w:fill="DA9694"/>
            <w:noWrap/>
            <w:vAlign w:val="center"/>
            <w:hideMark/>
          </w:tcPr>
          <w:p w14:paraId="30D3D884" w14:textId="77777777" w:rsidR="00A40986" w:rsidRPr="00843BE4" w:rsidRDefault="00A40986" w:rsidP="00843BE4">
            <w:pPr>
              <w:jc w:val="center"/>
              <w:rPr>
                <w:rFonts w:ascii="Calibri" w:eastAsia="Times New Roman" w:hAnsi="Calibri" w:cs="Times New Roman"/>
                <w:color w:val="000000"/>
              </w:rPr>
            </w:pPr>
            <w:r w:rsidRPr="00843BE4">
              <w:rPr>
                <w:rFonts w:ascii="Calibri" w:eastAsia="Times New Roman" w:hAnsi="Calibri" w:cs="Times New Roman"/>
                <w:color w:val="000000"/>
              </w:rPr>
              <w:t>4</w:t>
            </w:r>
          </w:p>
        </w:tc>
      </w:tr>
      <w:tr w:rsidR="00A40986" w:rsidRPr="00843BE4" w14:paraId="363880CF" w14:textId="77777777" w:rsidTr="00B01FE2">
        <w:trPr>
          <w:trHeight w:val="300"/>
          <w:jc w:val="center"/>
        </w:trPr>
        <w:tc>
          <w:tcPr>
            <w:tcW w:w="1570" w:type="dxa"/>
            <w:tcBorders>
              <w:top w:val="nil"/>
              <w:left w:val="single" w:sz="4" w:space="0" w:color="auto"/>
              <w:bottom w:val="nil"/>
              <w:right w:val="nil"/>
            </w:tcBorders>
            <w:shd w:val="clear" w:color="000000" w:fill="D8E4BC"/>
            <w:noWrap/>
            <w:vAlign w:val="center"/>
            <w:hideMark/>
          </w:tcPr>
          <w:p w14:paraId="2FF2525D" w14:textId="77777777" w:rsidR="00A40986" w:rsidRPr="00843BE4" w:rsidRDefault="00A40986" w:rsidP="00843BE4">
            <w:pPr>
              <w:jc w:val="center"/>
              <w:rPr>
                <w:rFonts w:ascii="Calibri" w:eastAsia="Times New Roman" w:hAnsi="Calibri" w:cs="Times New Roman"/>
                <w:color w:val="000000"/>
              </w:rPr>
            </w:pPr>
            <w:r w:rsidRPr="00843BE4">
              <w:rPr>
                <w:rFonts w:ascii="Calibri" w:eastAsia="Times New Roman" w:hAnsi="Calibri" w:cs="Times New Roman"/>
                <w:color w:val="000000"/>
              </w:rPr>
              <w:t>Food</w:t>
            </w:r>
          </w:p>
        </w:tc>
        <w:tc>
          <w:tcPr>
            <w:tcW w:w="1461" w:type="dxa"/>
            <w:tcBorders>
              <w:top w:val="nil"/>
              <w:left w:val="nil"/>
              <w:bottom w:val="nil"/>
              <w:right w:val="single" w:sz="4" w:space="0" w:color="auto"/>
            </w:tcBorders>
            <w:shd w:val="clear" w:color="auto" w:fill="auto"/>
            <w:noWrap/>
            <w:vAlign w:val="center"/>
            <w:hideMark/>
          </w:tcPr>
          <w:p w14:paraId="7E4E8143" w14:textId="77777777" w:rsidR="00A40986" w:rsidRPr="00843BE4" w:rsidRDefault="00A40986" w:rsidP="00843BE4">
            <w:pPr>
              <w:jc w:val="center"/>
              <w:rPr>
                <w:rFonts w:ascii="Calibri" w:eastAsia="Times New Roman" w:hAnsi="Calibri" w:cs="Times New Roman"/>
                <w:color w:val="000000"/>
              </w:rPr>
            </w:pPr>
            <w:r w:rsidRPr="00843BE4">
              <w:rPr>
                <w:rFonts w:ascii="Calibri" w:eastAsia="Times New Roman" w:hAnsi="Calibri" w:cs="Times New Roman"/>
                <w:color w:val="000000"/>
              </w:rPr>
              <w:t>6</w:t>
            </w:r>
          </w:p>
        </w:tc>
        <w:tc>
          <w:tcPr>
            <w:tcW w:w="1308" w:type="dxa"/>
            <w:tcBorders>
              <w:top w:val="nil"/>
              <w:left w:val="nil"/>
              <w:bottom w:val="nil"/>
              <w:right w:val="single" w:sz="4" w:space="0" w:color="auto"/>
            </w:tcBorders>
            <w:shd w:val="clear" w:color="000000" w:fill="DA9694"/>
            <w:noWrap/>
            <w:vAlign w:val="center"/>
            <w:hideMark/>
          </w:tcPr>
          <w:p w14:paraId="35E53BEB" w14:textId="77777777" w:rsidR="00A40986" w:rsidRPr="00843BE4" w:rsidRDefault="00A40986" w:rsidP="00843BE4">
            <w:pPr>
              <w:jc w:val="center"/>
              <w:rPr>
                <w:rFonts w:ascii="Calibri" w:eastAsia="Times New Roman" w:hAnsi="Calibri" w:cs="Times New Roman"/>
                <w:color w:val="000000"/>
              </w:rPr>
            </w:pPr>
            <w:r w:rsidRPr="00843BE4">
              <w:rPr>
                <w:rFonts w:ascii="Calibri" w:eastAsia="Times New Roman" w:hAnsi="Calibri" w:cs="Times New Roman"/>
                <w:color w:val="000000"/>
              </w:rPr>
              <w:t>4</w:t>
            </w:r>
          </w:p>
        </w:tc>
      </w:tr>
      <w:tr w:rsidR="00A40986" w:rsidRPr="00843BE4" w14:paraId="5C376EC1" w14:textId="77777777" w:rsidTr="00B01FE2">
        <w:trPr>
          <w:trHeight w:val="300"/>
          <w:jc w:val="center"/>
        </w:trPr>
        <w:tc>
          <w:tcPr>
            <w:tcW w:w="1570" w:type="dxa"/>
            <w:tcBorders>
              <w:top w:val="nil"/>
              <w:left w:val="single" w:sz="4" w:space="0" w:color="auto"/>
              <w:bottom w:val="nil"/>
              <w:right w:val="nil"/>
            </w:tcBorders>
            <w:shd w:val="clear" w:color="000000" w:fill="D8E4BC"/>
            <w:noWrap/>
            <w:vAlign w:val="center"/>
            <w:hideMark/>
          </w:tcPr>
          <w:p w14:paraId="30B26841" w14:textId="77777777" w:rsidR="00A40986" w:rsidRPr="00843BE4" w:rsidRDefault="00A40986" w:rsidP="00843BE4">
            <w:pPr>
              <w:jc w:val="center"/>
              <w:rPr>
                <w:rFonts w:ascii="Calibri" w:eastAsia="Times New Roman" w:hAnsi="Calibri" w:cs="Times New Roman"/>
                <w:color w:val="000000"/>
              </w:rPr>
            </w:pPr>
            <w:r w:rsidRPr="00843BE4">
              <w:rPr>
                <w:rFonts w:ascii="Calibri" w:eastAsia="Times New Roman" w:hAnsi="Calibri" w:cs="Times New Roman"/>
                <w:color w:val="000000"/>
              </w:rPr>
              <w:t>Health</w:t>
            </w:r>
          </w:p>
        </w:tc>
        <w:tc>
          <w:tcPr>
            <w:tcW w:w="1461" w:type="dxa"/>
            <w:tcBorders>
              <w:top w:val="nil"/>
              <w:left w:val="nil"/>
              <w:bottom w:val="nil"/>
              <w:right w:val="single" w:sz="4" w:space="0" w:color="auto"/>
            </w:tcBorders>
            <w:shd w:val="clear" w:color="auto" w:fill="auto"/>
            <w:noWrap/>
            <w:vAlign w:val="center"/>
            <w:hideMark/>
          </w:tcPr>
          <w:p w14:paraId="47566466" w14:textId="77777777" w:rsidR="00A40986" w:rsidRPr="00843BE4" w:rsidRDefault="00A40986" w:rsidP="00843BE4">
            <w:pPr>
              <w:jc w:val="center"/>
              <w:rPr>
                <w:rFonts w:ascii="Calibri" w:eastAsia="Times New Roman" w:hAnsi="Calibri" w:cs="Times New Roman"/>
                <w:color w:val="000000"/>
              </w:rPr>
            </w:pPr>
            <w:r w:rsidRPr="00843BE4">
              <w:rPr>
                <w:rFonts w:ascii="Calibri" w:eastAsia="Times New Roman" w:hAnsi="Calibri" w:cs="Times New Roman"/>
                <w:color w:val="000000"/>
              </w:rPr>
              <w:t>6</w:t>
            </w:r>
          </w:p>
        </w:tc>
        <w:tc>
          <w:tcPr>
            <w:tcW w:w="1308" w:type="dxa"/>
            <w:tcBorders>
              <w:top w:val="nil"/>
              <w:left w:val="nil"/>
              <w:bottom w:val="nil"/>
              <w:right w:val="single" w:sz="4" w:space="0" w:color="auto"/>
            </w:tcBorders>
            <w:shd w:val="clear" w:color="000000" w:fill="DA9694"/>
            <w:noWrap/>
            <w:vAlign w:val="center"/>
            <w:hideMark/>
          </w:tcPr>
          <w:p w14:paraId="2BB86640" w14:textId="77777777" w:rsidR="00A40986" w:rsidRPr="00843BE4" w:rsidRDefault="00A40986" w:rsidP="00843BE4">
            <w:pPr>
              <w:jc w:val="center"/>
              <w:rPr>
                <w:rFonts w:ascii="Calibri" w:eastAsia="Times New Roman" w:hAnsi="Calibri" w:cs="Times New Roman"/>
                <w:color w:val="000000"/>
              </w:rPr>
            </w:pPr>
            <w:r w:rsidRPr="00843BE4">
              <w:rPr>
                <w:rFonts w:ascii="Calibri" w:eastAsia="Times New Roman" w:hAnsi="Calibri" w:cs="Times New Roman"/>
                <w:color w:val="000000"/>
              </w:rPr>
              <w:t>4</w:t>
            </w:r>
          </w:p>
        </w:tc>
      </w:tr>
      <w:tr w:rsidR="00A40986" w:rsidRPr="00843BE4" w14:paraId="4FC87FD2" w14:textId="77777777" w:rsidTr="00B01FE2">
        <w:trPr>
          <w:trHeight w:val="300"/>
          <w:jc w:val="center"/>
        </w:trPr>
        <w:tc>
          <w:tcPr>
            <w:tcW w:w="1570" w:type="dxa"/>
            <w:tcBorders>
              <w:top w:val="nil"/>
              <w:left w:val="single" w:sz="4" w:space="0" w:color="auto"/>
              <w:bottom w:val="nil"/>
              <w:right w:val="nil"/>
            </w:tcBorders>
            <w:shd w:val="clear" w:color="000000" w:fill="D8E4BC"/>
            <w:noWrap/>
            <w:vAlign w:val="center"/>
            <w:hideMark/>
          </w:tcPr>
          <w:p w14:paraId="55A0C338" w14:textId="77777777" w:rsidR="00A40986" w:rsidRPr="00843BE4" w:rsidRDefault="00A40986" w:rsidP="00843BE4">
            <w:pPr>
              <w:jc w:val="center"/>
              <w:rPr>
                <w:rFonts w:ascii="Calibri" w:eastAsia="Times New Roman" w:hAnsi="Calibri" w:cs="Times New Roman"/>
                <w:color w:val="000000"/>
              </w:rPr>
            </w:pPr>
            <w:r w:rsidRPr="00843BE4">
              <w:rPr>
                <w:rFonts w:ascii="Calibri" w:eastAsia="Times New Roman" w:hAnsi="Calibri" w:cs="Times New Roman"/>
                <w:color w:val="000000"/>
              </w:rPr>
              <w:t>Infrastructure</w:t>
            </w:r>
          </w:p>
        </w:tc>
        <w:tc>
          <w:tcPr>
            <w:tcW w:w="1461" w:type="dxa"/>
            <w:tcBorders>
              <w:top w:val="nil"/>
              <w:left w:val="nil"/>
              <w:bottom w:val="nil"/>
              <w:right w:val="single" w:sz="4" w:space="0" w:color="auto"/>
            </w:tcBorders>
            <w:shd w:val="clear" w:color="auto" w:fill="auto"/>
            <w:noWrap/>
            <w:vAlign w:val="center"/>
            <w:hideMark/>
          </w:tcPr>
          <w:p w14:paraId="136E24C5" w14:textId="77777777" w:rsidR="00A40986" w:rsidRPr="00843BE4" w:rsidRDefault="00A40986" w:rsidP="00843BE4">
            <w:pPr>
              <w:jc w:val="center"/>
              <w:rPr>
                <w:rFonts w:ascii="Calibri" w:eastAsia="Times New Roman" w:hAnsi="Calibri" w:cs="Times New Roman"/>
                <w:color w:val="000000"/>
              </w:rPr>
            </w:pPr>
            <w:r w:rsidRPr="00843BE4">
              <w:rPr>
                <w:rFonts w:ascii="Calibri" w:eastAsia="Times New Roman" w:hAnsi="Calibri" w:cs="Times New Roman"/>
                <w:color w:val="000000"/>
              </w:rPr>
              <w:t>6</w:t>
            </w:r>
          </w:p>
        </w:tc>
        <w:tc>
          <w:tcPr>
            <w:tcW w:w="1308" w:type="dxa"/>
            <w:tcBorders>
              <w:top w:val="nil"/>
              <w:left w:val="nil"/>
              <w:bottom w:val="nil"/>
              <w:right w:val="single" w:sz="4" w:space="0" w:color="auto"/>
            </w:tcBorders>
            <w:shd w:val="clear" w:color="000000" w:fill="DA9694"/>
            <w:noWrap/>
            <w:vAlign w:val="center"/>
            <w:hideMark/>
          </w:tcPr>
          <w:p w14:paraId="0F9E87B2" w14:textId="77777777" w:rsidR="00A40986" w:rsidRPr="00843BE4" w:rsidRDefault="00A40986" w:rsidP="00843BE4">
            <w:pPr>
              <w:jc w:val="center"/>
              <w:rPr>
                <w:rFonts w:ascii="Calibri" w:eastAsia="Times New Roman" w:hAnsi="Calibri" w:cs="Times New Roman"/>
                <w:color w:val="000000"/>
              </w:rPr>
            </w:pPr>
            <w:r w:rsidRPr="00843BE4">
              <w:rPr>
                <w:rFonts w:ascii="Calibri" w:eastAsia="Times New Roman" w:hAnsi="Calibri" w:cs="Times New Roman"/>
                <w:color w:val="000000"/>
              </w:rPr>
              <w:t>4</w:t>
            </w:r>
          </w:p>
        </w:tc>
      </w:tr>
      <w:tr w:rsidR="00A40986" w:rsidRPr="00843BE4" w14:paraId="5985E964" w14:textId="77777777" w:rsidTr="00B01FE2">
        <w:trPr>
          <w:trHeight w:val="300"/>
          <w:jc w:val="center"/>
        </w:trPr>
        <w:tc>
          <w:tcPr>
            <w:tcW w:w="1570" w:type="dxa"/>
            <w:tcBorders>
              <w:top w:val="single" w:sz="4" w:space="0" w:color="auto"/>
              <w:left w:val="single" w:sz="4" w:space="0" w:color="auto"/>
              <w:bottom w:val="nil"/>
              <w:right w:val="nil"/>
            </w:tcBorders>
            <w:shd w:val="clear" w:color="000000" w:fill="D8E4BC"/>
            <w:noWrap/>
            <w:vAlign w:val="center"/>
            <w:hideMark/>
          </w:tcPr>
          <w:p w14:paraId="59DC720E" w14:textId="77777777" w:rsidR="00A40986" w:rsidRPr="00843BE4" w:rsidRDefault="00A40986" w:rsidP="00843BE4">
            <w:pPr>
              <w:jc w:val="center"/>
              <w:rPr>
                <w:rFonts w:ascii="Calibri" w:eastAsia="Times New Roman" w:hAnsi="Calibri" w:cs="Times New Roman"/>
                <w:color w:val="000000"/>
              </w:rPr>
            </w:pPr>
            <w:r w:rsidRPr="00843BE4">
              <w:rPr>
                <w:rFonts w:ascii="Calibri" w:eastAsia="Times New Roman" w:hAnsi="Calibri" w:cs="Times New Roman"/>
                <w:color w:val="000000"/>
              </w:rPr>
              <w:t>Exposure</w:t>
            </w:r>
          </w:p>
        </w:tc>
        <w:tc>
          <w:tcPr>
            <w:tcW w:w="1461" w:type="dxa"/>
            <w:tcBorders>
              <w:top w:val="single" w:sz="4" w:space="0" w:color="auto"/>
              <w:left w:val="nil"/>
              <w:bottom w:val="nil"/>
              <w:right w:val="single" w:sz="4" w:space="0" w:color="auto"/>
            </w:tcBorders>
            <w:shd w:val="clear" w:color="auto" w:fill="auto"/>
            <w:noWrap/>
            <w:vAlign w:val="center"/>
            <w:hideMark/>
          </w:tcPr>
          <w:p w14:paraId="791069F6" w14:textId="77777777" w:rsidR="00A40986" w:rsidRPr="00843BE4" w:rsidRDefault="00A40986" w:rsidP="00843BE4">
            <w:pPr>
              <w:jc w:val="center"/>
              <w:rPr>
                <w:rFonts w:ascii="Calibri" w:eastAsia="Times New Roman" w:hAnsi="Calibri" w:cs="Times New Roman"/>
                <w:color w:val="000000"/>
              </w:rPr>
            </w:pPr>
            <w:r w:rsidRPr="00843BE4">
              <w:rPr>
                <w:rFonts w:ascii="Calibri" w:eastAsia="Times New Roman" w:hAnsi="Calibri" w:cs="Times New Roman"/>
                <w:color w:val="000000"/>
              </w:rPr>
              <w:t>9</w:t>
            </w:r>
          </w:p>
        </w:tc>
        <w:tc>
          <w:tcPr>
            <w:tcW w:w="1308" w:type="dxa"/>
            <w:tcBorders>
              <w:top w:val="nil"/>
              <w:left w:val="nil"/>
              <w:bottom w:val="nil"/>
              <w:right w:val="single" w:sz="4" w:space="0" w:color="auto"/>
            </w:tcBorders>
            <w:shd w:val="clear" w:color="000000" w:fill="DA9694"/>
            <w:noWrap/>
            <w:vAlign w:val="center"/>
            <w:hideMark/>
          </w:tcPr>
          <w:p w14:paraId="6D4DB782" w14:textId="77777777" w:rsidR="00A40986" w:rsidRPr="00843BE4" w:rsidRDefault="00A40986" w:rsidP="00843BE4">
            <w:pPr>
              <w:jc w:val="center"/>
              <w:rPr>
                <w:rFonts w:ascii="Calibri" w:eastAsia="Times New Roman" w:hAnsi="Calibri" w:cs="Times New Roman"/>
                <w:color w:val="000000"/>
              </w:rPr>
            </w:pPr>
            <w:r w:rsidRPr="00843BE4">
              <w:rPr>
                <w:rFonts w:ascii="Calibri" w:eastAsia="Times New Roman" w:hAnsi="Calibri" w:cs="Times New Roman"/>
                <w:color w:val="000000"/>
              </w:rPr>
              <w:t>7</w:t>
            </w:r>
          </w:p>
        </w:tc>
      </w:tr>
      <w:tr w:rsidR="00A40986" w:rsidRPr="00843BE4" w14:paraId="30CB9F59" w14:textId="77777777" w:rsidTr="00B01FE2">
        <w:trPr>
          <w:trHeight w:val="300"/>
          <w:jc w:val="center"/>
        </w:trPr>
        <w:tc>
          <w:tcPr>
            <w:tcW w:w="1570" w:type="dxa"/>
            <w:tcBorders>
              <w:top w:val="nil"/>
              <w:left w:val="single" w:sz="4" w:space="0" w:color="auto"/>
              <w:bottom w:val="nil"/>
              <w:right w:val="nil"/>
            </w:tcBorders>
            <w:shd w:val="clear" w:color="000000" w:fill="D8E4BC"/>
            <w:noWrap/>
            <w:vAlign w:val="center"/>
            <w:hideMark/>
          </w:tcPr>
          <w:p w14:paraId="01578237" w14:textId="77777777" w:rsidR="00A40986" w:rsidRPr="00843BE4" w:rsidRDefault="00A40986" w:rsidP="00843BE4">
            <w:pPr>
              <w:jc w:val="center"/>
              <w:rPr>
                <w:rFonts w:ascii="Calibri" w:eastAsia="Times New Roman" w:hAnsi="Calibri" w:cs="Times New Roman"/>
                <w:color w:val="000000"/>
              </w:rPr>
            </w:pPr>
            <w:r w:rsidRPr="00843BE4">
              <w:rPr>
                <w:rFonts w:ascii="Calibri" w:eastAsia="Times New Roman" w:hAnsi="Calibri" w:cs="Times New Roman"/>
                <w:color w:val="000000"/>
              </w:rPr>
              <w:t>Sensitivity</w:t>
            </w:r>
          </w:p>
        </w:tc>
        <w:tc>
          <w:tcPr>
            <w:tcW w:w="1461" w:type="dxa"/>
            <w:tcBorders>
              <w:top w:val="nil"/>
              <w:left w:val="nil"/>
              <w:bottom w:val="nil"/>
              <w:right w:val="single" w:sz="4" w:space="0" w:color="auto"/>
            </w:tcBorders>
            <w:shd w:val="clear" w:color="auto" w:fill="auto"/>
            <w:noWrap/>
            <w:vAlign w:val="center"/>
            <w:hideMark/>
          </w:tcPr>
          <w:p w14:paraId="152B2624" w14:textId="77777777" w:rsidR="00A40986" w:rsidRPr="00843BE4" w:rsidRDefault="00A40986" w:rsidP="00843BE4">
            <w:pPr>
              <w:jc w:val="center"/>
              <w:rPr>
                <w:rFonts w:ascii="Calibri" w:eastAsia="Times New Roman" w:hAnsi="Calibri" w:cs="Times New Roman"/>
                <w:color w:val="000000"/>
              </w:rPr>
            </w:pPr>
            <w:r w:rsidRPr="00843BE4">
              <w:rPr>
                <w:rFonts w:ascii="Calibri" w:eastAsia="Times New Roman" w:hAnsi="Calibri" w:cs="Times New Roman"/>
                <w:color w:val="000000"/>
              </w:rPr>
              <w:t>9</w:t>
            </w:r>
          </w:p>
        </w:tc>
        <w:tc>
          <w:tcPr>
            <w:tcW w:w="1308" w:type="dxa"/>
            <w:tcBorders>
              <w:top w:val="nil"/>
              <w:left w:val="nil"/>
              <w:bottom w:val="nil"/>
              <w:right w:val="single" w:sz="4" w:space="0" w:color="auto"/>
            </w:tcBorders>
            <w:shd w:val="clear" w:color="000000" w:fill="DA9694"/>
            <w:noWrap/>
            <w:vAlign w:val="center"/>
            <w:hideMark/>
          </w:tcPr>
          <w:p w14:paraId="5EF67AA3" w14:textId="77777777" w:rsidR="00A40986" w:rsidRPr="00843BE4" w:rsidRDefault="00A40986" w:rsidP="00843BE4">
            <w:pPr>
              <w:jc w:val="center"/>
              <w:rPr>
                <w:rFonts w:ascii="Calibri" w:eastAsia="Times New Roman" w:hAnsi="Calibri" w:cs="Times New Roman"/>
                <w:color w:val="000000"/>
              </w:rPr>
            </w:pPr>
            <w:r w:rsidRPr="00843BE4">
              <w:rPr>
                <w:rFonts w:ascii="Calibri" w:eastAsia="Times New Roman" w:hAnsi="Calibri" w:cs="Times New Roman"/>
                <w:color w:val="000000"/>
              </w:rPr>
              <w:t>7</w:t>
            </w:r>
          </w:p>
        </w:tc>
      </w:tr>
      <w:tr w:rsidR="00A40986" w:rsidRPr="00843BE4" w14:paraId="6B256796" w14:textId="77777777" w:rsidTr="00B01FE2">
        <w:trPr>
          <w:trHeight w:val="300"/>
          <w:jc w:val="center"/>
        </w:trPr>
        <w:tc>
          <w:tcPr>
            <w:tcW w:w="1570" w:type="dxa"/>
            <w:tcBorders>
              <w:top w:val="nil"/>
              <w:left w:val="single" w:sz="4" w:space="0" w:color="auto"/>
              <w:bottom w:val="nil"/>
              <w:right w:val="nil"/>
            </w:tcBorders>
            <w:shd w:val="clear" w:color="000000" w:fill="D8E4BC"/>
            <w:noWrap/>
            <w:vAlign w:val="center"/>
            <w:hideMark/>
          </w:tcPr>
          <w:p w14:paraId="0EACF4E6" w14:textId="77777777" w:rsidR="00A40986" w:rsidRPr="00843BE4" w:rsidRDefault="00A40986" w:rsidP="00843BE4">
            <w:pPr>
              <w:jc w:val="center"/>
              <w:rPr>
                <w:rFonts w:ascii="Calibri" w:eastAsia="Times New Roman" w:hAnsi="Calibri" w:cs="Times New Roman"/>
                <w:color w:val="000000"/>
              </w:rPr>
            </w:pPr>
            <w:r w:rsidRPr="00843BE4">
              <w:rPr>
                <w:rFonts w:ascii="Calibri" w:eastAsia="Times New Roman" w:hAnsi="Calibri" w:cs="Times New Roman"/>
                <w:color w:val="000000"/>
              </w:rPr>
              <w:t>Capacity</w:t>
            </w:r>
          </w:p>
        </w:tc>
        <w:tc>
          <w:tcPr>
            <w:tcW w:w="1461" w:type="dxa"/>
            <w:tcBorders>
              <w:top w:val="nil"/>
              <w:left w:val="nil"/>
              <w:bottom w:val="nil"/>
              <w:right w:val="single" w:sz="4" w:space="0" w:color="auto"/>
            </w:tcBorders>
            <w:shd w:val="clear" w:color="auto" w:fill="auto"/>
            <w:noWrap/>
            <w:vAlign w:val="center"/>
            <w:hideMark/>
          </w:tcPr>
          <w:p w14:paraId="1C3BCDAF" w14:textId="77777777" w:rsidR="00A40986" w:rsidRPr="00843BE4" w:rsidRDefault="00A40986" w:rsidP="00843BE4">
            <w:pPr>
              <w:jc w:val="center"/>
              <w:rPr>
                <w:rFonts w:ascii="Calibri" w:eastAsia="Times New Roman" w:hAnsi="Calibri" w:cs="Times New Roman"/>
                <w:color w:val="000000"/>
              </w:rPr>
            </w:pPr>
            <w:r w:rsidRPr="00843BE4">
              <w:rPr>
                <w:rFonts w:ascii="Calibri" w:eastAsia="Times New Roman" w:hAnsi="Calibri" w:cs="Times New Roman"/>
                <w:color w:val="000000"/>
              </w:rPr>
              <w:t>6</w:t>
            </w:r>
          </w:p>
        </w:tc>
        <w:tc>
          <w:tcPr>
            <w:tcW w:w="1308" w:type="dxa"/>
            <w:tcBorders>
              <w:top w:val="nil"/>
              <w:left w:val="nil"/>
              <w:bottom w:val="nil"/>
              <w:right w:val="single" w:sz="4" w:space="0" w:color="auto"/>
            </w:tcBorders>
            <w:shd w:val="clear" w:color="000000" w:fill="DA9694"/>
            <w:noWrap/>
            <w:vAlign w:val="center"/>
            <w:hideMark/>
          </w:tcPr>
          <w:p w14:paraId="6550E31B" w14:textId="77777777" w:rsidR="00A40986" w:rsidRPr="00843BE4" w:rsidRDefault="00A40986" w:rsidP="00843BE4">
            <w:pPr>
              <w:jc w:val="center"/>
              <w:rPr>
                <w:rFonts w:ascii="Calibri" w:eastAsia="Times New Roman" w:hAnsi="Calibri" w:cs="Times New Roman"/>
                <w:color w:val="000000"/>
              </w:rPr>
            </w:pPr>
            <w:r w:rsidRPr="00843BE4">
              <w:rPr>
                <w:rFonts w:ascii="Calibri" w:eastAsia="Times New Roman" w:hAnsi="Calibri" w:cs="Times New Roman"/>
                <w:color w:val="000000"/>
              </w:rPr>
              <w:t>4</w:t>
            </w:r>
          </w:p>
        </w:tc>
      </w:tr>
      <w:tr w:rsidR="00A40986" w:rsidRPr="00843BE4" w14:paraId="19D38B03" w14:textId="77777777" w:rsidTr="00B01FE2">
        <w:trPr>
          <w:trHeight w:val="300"/>
          <w:jc w:val="center"/>
        </w:trPr>
        <w:tc>
          <w:tcPr>
            <w:tcW w:w="1570" w:type="dxa"/>
            <w:tcBorders>
              <w:top w:val="single" w:sz="4" w:space="0" w:color="auto"/>
              <w:left w:val="single" w:sz="4" w:space="0" w:color="auto"/>
              <w:bottom w:val="nil"/>
              <w:right w:val="nil"/>
            </w:tcBorders>
            <w:shd w:val="clear" w:color="000000" w:fill="FABF8F"/>
            <w:noWrap/>
            <w:vAlign w:val="center"/>
            <w:hideMark/>
          </w:tcPr>
          <w:p w14:paraId="1503CB19" w14:textId="77777777" w:rsidR="00A40986" w:rsidRPr="00843BE4" w:rsidRDefault="00A40986" w:rsidP="00843BE4">
            <w:pPr>
              <w:jc w:val="center"/>
              <w:rPr>
                <w:rFonts w:ascii="Calibri" w:eastAsia="Times New Roman" w:hAnsi="Calibri" w:cs="Times New Roman"/>
                <w:color w:val="000000"/>
              </w:rPr>
            </w:pPr>
            <w:r w:rsidRPr="00843BE4">
              <w:rPr>
                <w:rFonts w:ascii="Calibri" w:eastAsia="Times New Roman" w:hAnsi="Calibri" w:cs="Times New Roman"/>
                <w:color w:val="000000"/>
              </w:rPr>
              <w:t>Economic</w:t>
            </w:r>
          </w:p>
        </w:tc>
        <w:tc>
          <w:tcPr>
            <w:tcW w:w="1461" w:type="dxa"/>
            <w:tcBorders>
              <w:top w:val="single" w:sz="4" w:space="0" w:color="auto"/>
              <w:left w:val="nil"/>
              <w:bottom w:val="nil"/>
              <w:right w:val="single" w:sz="4" w:space="0" w:color="auto"/>
            </w:tcBorders>
            <w:shd w:val="clear" w:color="auto" w:fill="auto"/>
            <w:noWrap/>
            <w:vAlign w:val="center"/>
            <w:hideMark/>
          </w:tcPr>
          <w:p w14:paraId="4D933D3F" w14:textId="77777777" w:rsidR="00A40986" w:rsidRPr="00843BE4" w:rsidRDefault="00A40986" w:rsidP="00843BE4">
            <w:pPr>
              <w:jc w:val="center"/>
              <w:rPr>
                <w:rFonts w:ascii="Calibri" w:eastAsia="Times New Roman" w:hAnsi="Calibri" w:cs="Times New Roman"/>
                <w:color w:val="000000"/>
              </w:rPr>
            </w:pPr>
            <w:r w:rsidRPr="00843BE4">
              <w:rPr>
                <w:rFonts w:ascii="Calibri" w:eastAsia="Times New Roman" w:hAnsi="Calibri" w:cs="Times New Roman"/>
                <w:color w:val="000000"/>
              </w:rPr>
              <w:t>7</w:t>
            </w:r>
          </w:p>
        </w:tc>
        <w:tc>
          <w:tcPr>
            <w:tcW w:w="1308" w:type="dxa"/>
            <w:tcBorders>
              <w:top w:val="nil"/>
              <w:left w:val="nil"/>
              <w:bottom w:val="nil"/>
              <w:right w:val="single" w:sz="4" w:space="0" w:color="auto"/>
            </w:tcBorders>
            <w:shd w:val="clear" w:color="000000" w:fill="DA9694"/>
            <w:noWrap/>
            <w:vAlign w:val="center"/>
            <w:hideMark/>
          </w:tcPr>
          <w:p w14:paraId="6822CB06" w14:textId="77777777" w:rsidR="00A40986" w:rsidRPr="00843BE4" w:rsidRDefault="00A40986" w:rsidP="00843BE4">
            <w:pPr>
              <w:jc w:val="center"/>
              <w:rPr>
                <w:rFonts w:ascii="Calibri" w:eastAsia="Times New Roman" w:hAnsi="Calibri" w:cs="Times New Roman"/>
                <w:color w:val="000000"/>
              </w:rPr>
            </w:pPr>
            <w:r w:rsidRPr="00843BE4">
              <w:rPr>
                <w:rFonts w:ascii="Calibri" w:eastAsia="Times New Roman" w:hAnsi="Calibri" w:cs="Times New Roman"/>
                <w:color w:val="000000"/>
              </w:rPr>
              <w:t>5</w:t>
            </w:r>
          </w:p>
        </w:tc>
      </w:tr>
      <w:tr w:rsidR="00A40986" w:rsidRPr="00843BE4" w14:paraId="6F3F9872" w14:textId="77777777" w:rsidTr="00B01FE2">
        <w:trPr>
          <w:trHeight w:val="300"/>
          <w:jc w:val="center"/>
        </w:trPr>
        <w:tc>
          <w:tcPr>
            <w:tcW w:w="1570" w:type="dxa"/>
            <w:tcBorders>
              <w:top w:val="nil"/>
              <w:left w:val="single" w:sz="4" w:space="0" w:color="auto"/>
              <w:bottom w:val="nil"/>
              <w:right w:val="nil"/>
            </w:tcBorders>
            <w:shd w:val="clear" w:color="000000" w:fill="FABF8F"/>
            <w:noWrap/>
            <w:vAlign w:val="center"/>
            <w:hideMark/>
          </w:tcPr>
          <w:p w14:paraId="63889FCB" w14:textId="77777777" w:rsidR="00A40986" w:rsidRPr="00843BE4" w:rsidRDefault="00A40986" w:rsidP="00843BE4">
            <w:pPr>
              <w:jc w:val="center"/>
              <w:rPr>
                <w:rFonts w:ascii="Calibri" w:eastAsia="Times New Roman" w:hAnsi="Calibri" w:cs="Times New Roman"/>
                <w:color w:val="000000"/>
              </w:rPr>
            </w:pPr>
            <w:r w:rsidRPr="00843BE4">
              <w:rPr>
                <w:rFonts w:ascii="Calibri" w:eastAsia="Times New Roman" w:hAnsi="Calibri" w:cs="Times New Roman"/>
                <w:color w:val="000000"/>
              </w:rPr>
              <w:t>Governance</w:t>
            </w:r>
          </w:p>
        </w:tc>
        <w:tc>
          <w:tcPr>
            <w:tcW w:w="1461" w:type="dxa"/>
            <w:tcBorders>
              <w:top w:val="nil"/>
              <w:left w:val="nil"/>
              <w:bottom w:val="nil"/>
              <w:right w:val="single" w:sz="4" w:space="0" w:color="auto"/>
            </w:tcBorders>
            <w:shd w:val="clear" w:color="auto" w:fill="auto"/>
            <w:noWrap/>
            <w:vAlign w:val="center"/>
            <w:hideMark/>
          </w:tcPr>
          <w:p w14:paraId="0B67274F" w14:textId="77777777" w:rsidR="00A40986" w:rsidRPr="00843BE4" w:rsidRDefault="00A40986" w:rsidP="00843BE4">
            <w:pPr>
              <w:jc w:val="center"/>
              <w:rPr>
                <w:rFonts w:ascii="Calibri" w:eastAsia="Times New Roman" w:hAnsi="Calibri" w:cs="Times New Roman"/>
                <w:color w:val="000000"/>
              </w:rPr>
            </w:pPr>
            <w:r w:rsidRPr="00843BE4">
              <w:rPr>
                <w:rFonts w:ascii="Calibri" w:eastAsia="Times New Roman" w:hAnsi="Calibri" w:cs="Times New Roman"/>
                <w:color w:val="000000"/>
              </w:rPr>
              <w:t>3</w:t>
            </w:r>
          </w:p>
        </w:tc>
        <w:tc>
          <w:tcPr>
            <w:tcW w:w="1308" w:type="dxa"/>
            <w:tcBorders>
              <w:top w:val="nil"/>
              <w:left w:val="nil"/>
              <w:bottom w:val="nil"/>
              <w:right w:val="single" w:sz="4" w:space="0" w:color="auto"/>
            </w:tcBorders>
            <w:shd w:val="clear" w:color="000000" w:fill="DA9694"/>
            <w:noWrap/>
            <w:vAlign w:val="center"/>
            <w:hideMark/>
          </w:tcPr>
          <w:p w14:paraId="71C009A9" w14:textId="77777777" w:rsidR="00A40986" w:rsidRPr="00843BE4" w:rsidRDefault="00A40986" w:rsidP="00843BE4">
            <w:pPr>
              <w:jc w:val="center"/>
              <w:rPr>
                <w:rFonts w:ascii="Calibri" w:eastAsia="Times New Roman" w:hAnsi="Calibri" w:cs="Times New Roman"/>
                <w:color w:val="000000"/>
              </w:rPr>
            </w:pPr>
            <w:r w:rsidRPr="00843BE4">
              <w:rPr>
                <w:rFonts w:ascii="Calibri" w:eastAsia="Times New Roman" w:hAnsi="Calibri" w:cs="Times New Roman"/>
                <w:color w:val="000000"/>
              </w:rPr>
              <w:t>2</w:t>
            </w:r>
          </w:p>
        </w:tc>
      </w:tr>
      <w:tr w:rsidR="00A40986" w:rsidRPr="00843BE4" w14:paraId="44AC295B" w14:textId="77777777" w:rsidTr="00B01FE2">
        <w:trPr>
          <w:trHeight w:val="300"/>
          <w:jc w:val="center"/>
        </w:trPr>
        <w:tc>
          <w:tcPr>
            <w:tcW w:w="1570" w:type="dxa"/>
            <w:tcBorders>
              <w:top w:val="nil"/>
              <w:left w:val="single" w:sz="4" w:space="0" w:color="auto"/>
              <w:bottom w:val="single" w:sz="4" w:space="0" w:color="auto"/>
              <w:right w:val="nil"/>
            </w:tcBorders>
            <w:shd w:val="clear" w:color="000000" w:fill="FABF8F"/>
            <w:noWrap/>
            <w:vAlign w:val="center"/>
            <w:hideMark/>
          </w:tcPr>
          <w:p w14:paraId="75C83796" w14:textId="77777777" w:rsidR="00A40986" w:rsidRPr="00843BE4" w:rsidRDefault="00A40986" w:rsidP="00843BE4">
            <w:pPr>
              <w:jc w:val="center"/>
              <w:rPr>
                <w:rFonts w:ascii="Calibri" w:eastAsia="Times New Roman" w:hAnsi="Calibri" w:cs="Times New Roman"/>
                <w:color w:val="000000"/>
              </w:rPr>
            </w:pPr>
            <w:r w:rsidRPr="00843BE4">
              <w:rPr>
                <w:rFonts w:ascii="Calibri" w:eastAsia="Times New Roman" w:hAnsi="Calibri" w:cs="Times New Roman"/>
                <w:color w:val="000000"/>
              </w:rPr>
              <w:t>Social</w:t>
            </w:r>
          </w:p>
        </w:tc>
        <w:tc>
          <w:tcPr>
            <w:tcW w:w="1461" w:type="dxa"/>
            <w:tcBorders>
              <w:top w:val="nil"/>
              <w:left w:val="nil"/>
              <w:bottom w:val="single" w:sz="4" w:space="0" w:color="auto"/>
              <w:right w:val="single" w:sz="4" w:space="0" w:color="auto"/>
            </w:tcBorders>
            <w:shd w:val="clear" w:color="auto" w:fill="auto"/>
            <w:noWrap/>
            <w:vAlign w:val="center"/>
            <w:hideMark/>
          </w:tcPr>
          <w:p w14:paraId="1D095E2B" w14:textId="77777777" w:rsidR="00A40986" w:rsidRPr="00843BE4" w:rsidRDefault="00A40986" w:rsidP="00843BE4">
            <w:pPr>
              <w:jc w:val="center"/>
              <w:rPr>
                <w:rFonts w:ascii="Calibri" w:eastAsia="Times New Roman" w:hAnsi="Calibri" w:cs="Times New Roman"/>
                <w:color w:val="000000"/>
              </w:rPr>
            </w:pPr>
            <w:r w:rsidRPr="00843BE4">
              <w:rPr>
                <w:rFonts w:ascii="Calibri" w:eastAsia="Times New Roman" w:hAnsi="Calibri" w:cs="Times New Roman"/>
                <w:color w:val="000000"/>
              </w:rPr>
              <w:t>4</w:t>
            </w:r>
          </w:p>
        </w:tc>
        <w:tc>
          <w:tcPr>
            <w:tcW w:w="1308" w:type="dxa"/>
            <w:tcBorders>
              <w:top w:val="nil"/>
              <w:left w:val="nil"/>
              <w:bottom w:val="nil"/>
              <w:right w:val="single" w:sz="4" w:space="0" w:color="auto"/>
            </w:tcBorders>
            <w:shd w:val="clear" w:color="000000" w:fill="DA9694"/>
            <w:noWrap/>
            <w:vAlign w:val="center"/>
            <w:hideMark/>
          </w:tcPr>
          <w:p w14:paraId="07B1A24D" w14:textId="77777777" w:rsidR="00A40986" w:rsidRPr="00843BE4" w:rsidRDefault="00A40986" w:rsidP="00843BE4">
            <w:pPr>
              <w:jc w:val="center"/>
              <w:rPr>
                <w:rFonts w:ascii="Calibri" w:eastAsia="Times New Roman" w:hAnsi="Calibri" w:cs="Times New Roman"/>
                <w:color w:val="000000"/>
              </w:rPr>
            </w:pPr>
            <w:r w:rsidRPr="00843BE4">
              <w:rPr>
                <w:rFonts w:ascii="Calibri" w:eastAsia="Times New Roman" w:hAnsi="Calibri" w:cs="Times New Roman"/>
                <w:color w:val="000000"/>
              </w:rPr>
              <w:t>3</w:t>
            </w:r>
          </w:p>
        </w:tc>
      </w:tr>
      <w:tr w:rsidR="00A40986" w:rsidRPr="00843BE4" w14:paraId="5D167127" w14:textId="77777777" w:rsidTr="00B01FE2">
        <w:trPr>
          <w:trHeight w:val="300"/>
          <w:jc w:val="center"/>
        </w:trPr>
        <w:tc>
          <w:tcPr>
            <w:tcW w:w="1570" w:type="dxa"/>
            <w:tcBorders>
              <w:top w:val="nil"/>
              <w:left w:val="single" w:sz="4" w:space="0" w:color="auto"/>
              <w:bottom w:val="nil"/>
              <w:right w:val="nil"/>
            </w:tcBorders>
            <w:shd w:val="clear" w:color="000000" w:fill="FFFFFF"/>
            <w:noWrap/>
            <w:vAlign w:val="center"/>
            <w:hideMark/>
          </w:tcPr>
          <w:p w14:paraId="1BBB698B" w14:textId="77777777" w:rsidR="00A40986" w:rsidRPr="00843BE4" w:rsidRDefault="00A40986" w:rsidP="00843BE4">
            <w:pPr>
              <w:jc w:val="center"/>
              <w:rPr>
                <w:rFonts w:ascii="Calibri" w:eastAsia="Times New Roman" w:hAnsi="Calibri" w:cs="Times New Roman"/>
                <w:color w:val="000000"/>
              </w:rPr>
            </w:pPr>
            <w:r w:rsidRPr="00843BE4">
              <w:rPr>
                <w:rFonts w:ascii="Calibri" w:eastAsia="Times New Roman" w:hAnsi="Calibri" w:cs="Times New Roman"/>
                <w:color w:val="000000"/>
              </w:rPr>
              <w:t>Vulnerability</w:t>
            </w:r>
          </w:p>
        </w:tc>
        <w:tc>
          <w:tcPr>
            <w:tcW w:w="1461" w:type="dxa"/>
            <w:tcBorders>
              <w:top w:val="nil"/>
              <w:left w:val="nil"/>
              <w:bottom w:val="nil"/>
              <w:right w:val="nil"/>
            </w:tcBorders>
            <w:shd w:val="clear" w:color="auto" w:fill="auto"/>
            <w:noWrap/>
            <w:vAlign w:val="center"/>
            <w:hideMark/>
          </w:tcPr>
          <w:p w14:paraId="7FCCB908" w14:textId="77777777" w:rsidR="00A40986" w:rsidRPr="00843BE4" w:rsidRDefault="00A40986" w:rsidP="00843BE4">
            <w:pPr>
              <w:jc w:val="center"/>
              <w:rPr>
                <w:rFonts w:ascii="Calibri" w:eastAsia="Times New Roman" w:hAnsi="Calibri" w:cs="Times New Roman"/>
                <w:color w:val="000000"/>
              </w:rPr>
            </w:pPr>
            <w:r w:rsidRPr="00843BE4">
              <w:rPr>
                <w:rFonts w:ascii="Calibri" w:eastAsia="Times New Roman" w:hAnsi="Calibri" w:cs="Times New Roman"/>
                <w:color w:val="000000"/>
              </w:rPr>
              <w:t>24</w:t>
            </w:r>
          </w:p>
        </w:tc>
        <w:tc>
          <w:tcPr>
            <w:tcW w:w="1308" w:type="dxa"/>
            <w:tcBorders>
              <w:top w:val="nil"/>
              <w:left w:val="nil"/>
              <w:bottom w:val="nil"/>
              <w:right w:val="single" w:sz="4" w:space="0" w:color="auto"/>
            </w:tcBorders>
            <w:shd w:val="clear" w:color="000000" w:fill="DA9694"/>
            <w:noWrap/>
            <w:vAlign w:val="center"/>
            <w:hideMark/>
          </w:tcPr>
          <w:p w14:paraId="0C8B750F" w14:textId="77777777" w:rsidR="00A40986" w:rsidRPr="00843BE4" w:rsidRDefault="00A40986" w:rsidP="00843BE4">
            <w:pPr>
              <w:jc w:val="center"/>
              <w:rPr>
                <w:rFonts w:ascii="Calibri" w:eastAsia="Times New Roman" w:hAnsi="Calibri" w:cs="Times New Roman"/>
                <w:color w:val="000000"/>
              </w:rPr>
            </w:pPr>
            <w:r w:rsidRPr="00843BE4">
              <w:rPr>
                <w:rFonts w:ascii="Calibri" w:eastAsia="Times New Roman" w:hAnsi="Calibri" w:cs="Times New Roman"/>
                <w:color w:val="000000"/>
              </w:rPr>
              <w:t>18</w:t>
            </w:r>
          </w:p>
        </w:tc>
      </w:tr>
      <w:tr w:rsidR="00A40986" w:rsidRPr="00843BE4" w14:paraId="4D5624AD" w14:textId="77777777" w:rsidTr="00B01FE2">
        <w:trPr>
          <w:trHeight w:val="300"/>
          <w:jc w:val="center"/>
        </w:trPr>
        <w:tc>
          <w:tcPr>
            <w:tcW w:w="1570" w:type="dxa"/>
            <w:tcBorders>
              <w:top w:val="nil"/>
              <w:left w:val="single" w:sz="4" w:space="0" w:color="auto"/>
              <w:bottom w:val="nil"/>
              <w:right w:val="nil"/>
            </w:tcBorders>
            <w:shd w:val="clear" w:color="000000" w:fill="FFFFFF"/>
            <w:noWrap/>
            <w:vAlign w:val="center"/>
            <w:hideMark/>
          </w:tcPr>
          <w:p w14:paraId="40FFC18E" w14:textId="77777777" w:rsidR="00A40986" w:rsidRPr="00843BE4" w:rsidRDefault="00A40986" w:rsidP="00843BE4">
            <w:pPr>
              <w:jc w:val="center"/>
              <w:rPr>
                <w:rFonts w:ascii="Calibri" w:eastAsia="Times New Roman" w:hAnsi="Calibri" w:cs="Times New Roman"/>
                <w:color w:val="000000"/>
              </w:rPr>
            </w:pPr>
            <w:r w:rsidRPr="00843BE4">
              <w:rPr>
                <w:rFonts w:ascii="Calibri" w:eastAsia="Times New Roman" w:hAnsi="Calibri" w:cs="Times New Roman"/>
                <w:color w:val="000000"/>
              </w:rPr>
              <w:t>Readiness</w:t>
            </w:r>
          </w:p>
        </w:tc>
        <w:tc>
          <w:tcPr>
            <w:tcW w:w="1461" w:type="dxa"/>
            <w:tcBorders>
              <w:top w:val="nil"/>
              <w:left w:val="nil"/>
              <w:bottom w:val="nil"/>
              <w:right w:val="nil"/>
            </w:tcBorders>
            <w:shd w:val="clear" w:color="auto" w:fill="auto"/>
            <w:noWrap/>
            <w:vAlign w:val="center"/>
            <w:hideMark/>
          </w:tcPr>
          <w:p w14:paraId="2EB13D01" w14:textId="77777777" w:rsidR="00A40986" w:rsidRPr="00843BE4" w:rsidRDefault="00A40986" w:rsidP="00843BE4">
            <w:pPr>
              <w:jc w:val="center"/>
              <w:rPr>
                <w:rFonts w:ascii="Calibri" w:eastAsia="Times New Roman" w:hAnsi="Calibri" w:cs="Times New Roman"/>
                <w:color w:val="000000"/>
              </w:rPr>
            </w:pPr>
            <w:r w:rsidRPr="00843BE4">
              <w:rPr>
                <w:rFonts w:ascii="Calibri" w:eastAsia="Times New Roman" w:hAnsi="Calibri" w:cs="Times New Roman"/>
                <w:color w:val="000000"/>
              </w:rPr>
              <w:t>14</w:t>
            </w:r>
          </w:p>
        </w:tc>
        <w:tc>
          <w:tcPr>
            <w:tcW w:w="1308" w:type="dxa"/>
            <w:tcBorders>
              <w:top w:val="nil"/>
              <w:left w:val="nil"/>
              <w:bottom w:val="nil"/>
              <w:right w:val="single" w:sz="4" w:space="0" w:color="auto"/>
            </w:tcBorders>
            <w:shd w:val="clear" w:color="000000" w:fill="DA9694"/>
            <w:noWrap/>
            <w:vAlign w:val="center"/>
            <w:hideMark/>
          </w:tcPr>
          <w:p w14:paraId="0995A7E1" w14:textId="77777777" w:rsidR="00A40986" w:rsidRPr="00843BE4" w:rsidRDefault="00A40986" w:rsidP="00843BE4">
            <w:pPr>
              <w:jc w:val="center"/>
              <w:rPr>
                <w:rFonts w:ascii="Calibri" w:eastAsia="Times New Roman" w:hAnsi="Calibri" w:cs="Times New Roman"/>
                <w:color w:val="000000"/>
              </w:rPr>
            </w:pPr>
            <w:r w:rsidRPr="00843BE4">
              <w:rPr>
                <w:rFonts w:ascii="Calibri" w:eastAsia="Times New Roman" w:hAnsi="Calibri" w:cs="Times New Roman"/>
                <w:color w:val="000000"/>
              </w:rPr>
              <w:t>10</w:t>
            </w:r>
          </w:p>
        </w:tc>
      </w:tr>
      <w:tr w:rsidR="00A40986" w:rsidRPr="00843BE4" w14:paraId="5B1E21A6" w14:textId="77777777" w:rsidTr="00B01FE2">
        <w:trPr>
          <w:trHeight w:val="300"/>
          <w:jc w:val="center"/>
        </w:trPr>
        <w:tc>
          <w:tcPr>
            <w:tcW w:w="1570" w:type="dxa"/>
            <w:tcBorders>
              <w:top w:val="nil"/>
              <w:left w:val="single" w:sz="4" w:space="0" w:color="auto"/>
              <w:bottom w:val="single" w:sz="4" w:space="0" w:color="auto"/>
              <w:right w:val="nil"/>
            </w:tcBorders>
            <w:shd w:val="clear" w:color="auto" w:fill="auto"/>
            <w:noWrap/>
            <w:vAlign w:val="center"/>
            <w:hideMark/>
          </w:tcPr>
          <w:p w14:paraId="7CC9D4B0" w14:textId="56EC1633" w:rsidR="00A40986" w:rsidRPr="00843BE4" w:rsidRDefault="00A40986" w:rsidP="00843BE4">
            <w:pPr>
              <w:jc w:val="center"/>
              <w:rPr>
                <w:rFonts w:ascii="Calibri" w:eastAsia="Times New Roman" w:hAnsi="Calibri" w:cs="Times New Roman"/>
                <w:b/>
                <w:bCs/>
                <w:color w:val="000000"/>
              </w:rPr>
            </w:pPr>
            <w:r>
              <w:rPr>
                <w:rFonts w:ascii="Calibri" w:eastAsia="Times New Roman" w:hAnsi="Calibri" w:cs="Times New Roman"/>
                <w:b/>
                <w:bCs/>
                <w:color w:val="000000"/>
              </w:rPr>
              <w:t>GAIN Index</w:t>
            </w:r>
          </w:p>
        </w:tc>
        <w:tc>
          <w:tcPr>
            <w:tcW w:w="1461" w:type="dxa"/>
            <w:tcBorders>
              <w:top w:val="nil"/>
              <w:left w:val="nil"/>
              <w:bottom w:val="single" w:sz="4" w:space="0" w:color="auto"/>
              <w:right w:val="nil"/>
            </w:tcBorders>
            <w:shd w:val="clear" w:color="auto" w:fill="auto"/>
            <w:noWrap/>
            <w:vAlign w:val="center"/>
            <w:hideMark/>
          </w:tcPr>
          <w:p w14:paraId="65F16DF4" w14:textId="77777777" w:rsidR="00A40986" w:rsidRPr="00843BE4" w:rsidRDefault="00A40986" w:rsidP="00843BE4">
            <w:pPr>
              <w:jc w:val="center"/>
              <w:rPr>
                <w:rFonts w:ascii="Calibri" w:eastAsia="Times New Roman" w:hAnsi="Calibri" w:cs="Times New Roman"/>
                <w:color w:val="000000"/>
              </w:rPr>
            </w:pPr>
            <w:r w:rsidRPr="00843BE4">
              <w:rPr>
                <w:rFonts w:ascii="Calibri" w:eastAsia="Times New Roman" w:hAnsi="Calibri" w:cs="Times New Roman"/>
                <w:color w:val="000000"/>
              </w:rPr>
              <w:t>38</w:t>
            </w:r>
          </w:p>
        </w:tc>
        <w:tc>
          <w:tcPr>
            <w:tcW w:w="1308" w:type="dxa"/>
            <w:tcBorders>
              <w:top w:val="nil"/>
              <w:left w:val="nil"/>
              <w:bottom w:val="single" w:sz="4" w:space="0" w:color="auto"/>
              <w:right w:val="single" w:sz="4" w:space="0" w:color="auto"/>
            </w:tcBorders>
            <w:shd w:val="clear" w:color="000000" w:fill="DCE6F1"/>
            <w:noWrap/>
            <w:vAlign w:val="center"/>
            <w:hideMark/>
          </w:tcPr>
          <w:p w14:paraId="30662ECC" w14:textId="3198D3D1" w:rsidR="00A40986" w:rsidRPr="00843BE4" w:rsidRDefault="009845F9" w:rsidP="00843BE4">
            <w:pPr>
              <w:jc w:val="center"/>
              <w:rPr>
                <w:rFonts w:ascii="Calibri" w:eastAsia="Times New Roman" w:hAnsi="Calibri" w:cs="Times New Roman"/>
                <w:color w:val="000000"/>
              </w:rPr>
            </w:pPr>
            <w:r>
              <w:rPr>
                <w:rFonts w:ascii="Calibri" w:eastAsia="Times New Roman" w:hAnsi="Calibri" w:cs="Times New Roman"/>
                <w:color w:val="000000"/>
              </w:rPr>
              <w:t>28</w:t>
            </w:r>
          </w:p>
        </w:tc>
      </w:tr>
    </w:tbl>
    <w:p w14:paraId="281EC48F" w14:textId="77777777" w:rsidR="00313618" w:rsidRDefault="00313618" w:rsidP="00A1756F"/>
    <w:p w14:paraId="0E85D82B" w14:textId="61419C6A" w:rsidR="00A1756F" w:rsidRDefault="00313618" w:rsidP="00313618">
      <w:pPr>
        <w:pStyle w:val="Heading2"/>
      </w:pPr>
      <w:bookmarkStart w:id="14" w:name="_Toc205256437"/>
      <w:r>
        <w:t>Preliminary Ranking</w:t>
      </w:r>
      <w:bookmarkEnd w:id="14"/>
    </w:p>
    <w:p w14:paraId="3FC28F76" w14:textId="77777777" w:rsidR="00A1756F" w:rsidRDefault="00A1756F" w:rsidP="00A1756F"/>
    <w:p w14:paraId="12B79EB4" w14:textId="57997DFC" w:rsidR="00542993" w:rsidRDefault="00A1756F" w:rsidP="00A1756F">
      <w:r>
        <w:t xml:space="preserve">The list below </w:t>
      </w:r>
      <w:r w:rsidR="00B50542">
        <w:t xml:space="preserve">shows the rankings of the top  20 countries </w:t>
      </w:r>
      <w:r>
        <w:t>according to the “GAIN Index 2011</w:t>
      </w:r>
      <w:r w:rsidR="002C3191">
        <w:t xml:space="preserve"> Legacy</w:t>
      </w:r>
      <w:r>
        <w:t xml:space="preserve">” </w:t>
      </w:r>
      <w:r w:rsidR="00EF42DC">
        <w:t>(t</w:t>
      </w:r>
      <w:r>
        <w:t xml:space="preserve">he </w:t>
      </w:r>
      <w:r w:rsidR="009845F9">
        <w:t>current web r</w:t>
      </w:r>
      <w:r>
        <w:t>anking</w:t>
      </w:r>
      <w:r w:rsidR="00EF42DC">
        <w:t xml:space="preserve"> and with data up to 2010</w:t>
      </w:r>
      <w:r>
        <w:t>)</w:t>
      </w:r>
      <w:r w:rsidR="00EF42DC">
        <w:t>;</w:t>
      </w:r>
      <w:r>
        <w:t xml:space="preserve"> the new Ranking, using the </w:t>
      </w:r>
      <w:r w:rsidRPr="009E6ECD">
        <w:rPr>
          <w:b/>
        </w:rPr>
        <w:t>preliminary</w:t>
      </w:r>
      <w:r>
        <w:t xml:space="preserve"> “GAIN Index 2012 </w:t>
      </w:r>
      <w:r w:rsidR="00542993">
        <w:t>U</w:t>
      </w:r>
      <w:r>
        <w:t xml:space="preserve">pdate” </w:t>
      </w:r>
      <w:r w:rsidR="00542993">
        <w:t xml:space="preserve">for 2010 and for 2011 </w:t>
      </w:r>
      <w:r>
        <w:t>(“</w:t>
      </w:r>
      <w:r w:rsidR="00542993">
        <w:t>GAIN 2012 U</w:t>
      </w:r>
      <w:r>
        <w:t>pdate” does not include the new sectors</w:t>
      </w:r>
      <w:r w:rsidR="00EF42DC">
        <w:t xml:space="preserve"> discussed in another paper</w:t>
      </w:r>
      <w:r>
        <w:t xml:space="preserve">). We </w:t>
      </w:r>
      <w:r w:rsidR="00EF42DC">
        <w:t>were</w:t>
      </w:r>
      <w:r w:rsidR="00CC3A5B">
        <w:t xml:space="preserve"> able to include more countries</w:t>
      </w:r>
      <w:r w:rsidR="00EF42DC">
        <w:t xml:space="preserve"> in</w:t>
      </w:r>
      <w:r w:rsidR="00542993">
        <w:t xml:space="preserve"> the “GAIN Index 2012 Update”</w:t>
      </w:r>
      <w:r w:rsidR="00CC3A5B">
        <w:t>.</w:t>
      </w:r>
      <w:r w:rsidR="00D33C21">
        <w:t xml:space="preserve"> </w:t>
      </w:r>
    </w:p>
    <w:p w14:paraId="0351D966" w14:textId="77777777" w:rsidR="00542993" w:rsidRDefault="00542993" w:rsidP="00A1756F"/>
    <w:p w14:paraId="2606714B" w14:textId="2950296C" w:rsidR="00A1756F" w:rsidRDefault="00D33C21" w:rsidP="00A1756F">
      <w:r>
        <w:t xml:space="preserve">(see file </w:t>
      </w:r>
      <w:r w:rsidRPr="00D33C21">
        <w:rPr>
          <w:i/>
        </w:rPr>
        <w:t xml:space="preserve">gain2012update-draft.xls </w:t>
      </w:r>
      <w:r>
        <w:t xml:space="preserve">with all </w:t>
      </w:r>
      <w:r w:rsidR="00517E63">
        <w:t>countries and scores</w:t>
      </w:r>
      <w:r>
        <w:t>)</w:t>
      </w:r>
    </w:p>
    <w:p w14:paraId="0D0A32FA" w14:textId="77777777" w:rsidR="00F34925" w:rsidRDefault="00F34925" w:rsidP="00A1756F"/>
    <w:tbl>
      <w:tblPr>
        <w:tblW w:w="8784" w:type="dxa"/>
        <w:tblInd w:w="93" w:type="dxa"/>
        <w:tblLayout w:type="fixed"/>
        <w:tblLook w:val="04A0" w:firstRow="1" w:lastRow="0" w:firstColumn="1" w:lastColumn="0" w:noHBand="0" w:noVBand="1"/>
      </w:tblPr>
      <w:tblGrid>
        <w:gridCol w:w="825"/>
        <w:gridCol w:w="1440"/>
        <w:gridCol w:w="1080"/>
        <w:gridCol w:w="1411"/>
        <w:gridCol w:w="1350"/>
        <w:gridCol w:w="1479"/>
        <w:gridCol w:w="1199"/>
      </w:tblGrid>
      <w:tr w:rsidR="00542993" w:rsidRPr="00790356" w14:paraId="7F332F4B" w14:textId="77777777" w:rsidTr="00B01FE2">
        <w:trPr>
          <w:trHeight w:val="300"/>
        </w:trPr>
        <w:tc>
          <w:tcPr>
            <w:tcW w:w="825" w:type="dxa"/>
            <w:tcBorders>
              <w:top w:val="nil"/>
              <w:left w:val="nil"/>
              <w:bottom w:val="nil"/>
              <w:right w:val="single" w:sz="4" w:space="0" w:color="auto"/>
            </w:tcBorders>
            <w:shd w:val="clear" w:color="auto" w:fill="FBD4B4" w:themeFill="accent6" w:themeFillTint="66"/>
            <w:vAlign w:val="bottom"/>
          </w:tcPr>
          <w:p w14:paraId="1B54E986" w14:textId="77777777" w:rsidR="00542993" w:rsidRDefault="00542993" w:rsidP="00F34925">
            <w:pPr>
              <w:jc w:val="center"/>
              <w:rPr>
                <w:rFonts w:ascii="Calibri" w:eastAsia="Times New Roman" w:hAnsi="Calibri" w:cs="Times New Roman"/>
                <w:color w:val="000000"/>
              </w:rPr>
            </w:pPr>
          </w:p>
        </w:tc>
        <w:tc>
          <w:tcPr>
            <w:tcW w:w="2520" w:type="dxa"/>
            <w:gridSpan w:val="2"/>
            <w:tcBorders>
              <w:top w:val="nil"/>
              <w:left w:val="single" w:sz="4" w:space="0" w:color="auto"/>
              <w:bottom w:val="nil"/>
              <w:right w:val="single" w:sz="4" w:space="0" w:color="auto"/>
            </w:tcBorders>
            <w:shd w:val="clear" w:color="auto" w:fill="C2D69B" w:themeFill="accent3" w:themeFillTint="99"/>
            <w:noWrap/>
            <w:vAlign w:val="bottom"/>
          </w:tcPr>
          <w:p w14:paraId="528ECFDB" w14:textId="0B97203C" w:rsidR="00542993" w:rsidRDefault="00542993" w:rsidP="00B50542">
            <w:pPr>
              <w:jc w:val="center"/>
              <w:rPr>
                <w:rFonts w:ascii="Calibri" w:eastAsia="Times New Roman" w:hAnsi="Calibri" w:cs="Times New Roman"/>
                <w:color w:val="000000"/>
              </w:rPr>
            </w:pPr>
            <w:r>
              <w:rPr>
                <w:rFonts w:ascii="Calibri" w:eastAsia="Times New Roman" w:hAnsi="Calibri" w:cs="Times New Roman"/>
                <w:color w:val="000000"/>
              </w:rPr>
              <w:t>“GAIN 2011 Legacy”</w:t>
            </w:r>
          </w:p>
        </w:tc>
        <w:tc>
          <w:tcPr>
            <w:tcW w:w="5439" w:type="dxa"/>
            <w:gridSpan w:val="4"/>
            <w:tcBorders>
              <w:top w:val="nil"/>
              <w:left w:val="single" w:sz="4" w:space="0" w:color="auto"/>
              <w:bottom w:val="nil"/>
              <w:right w:val="nil"/>
            </w:tcBorders>
            <w:shd w:val="clear" w:color="auto" w:fill="FBD4B4" w:themeFill="accent6" w:themeFillTint="66"/>
            <w:noWrap/>
            <w:vAlign w:val="bottom"/>
          </w:tcPr>
          <w:p w14:paraId="64C89CC5" w14:textId="1179DFB9" w:rsidR="00542993" w:rsidDel="00B50542" w:rsidRDefault="00542993" w:rsidP="00B50542">
            <w:pPr>
              <w:jc w:val="center"/>
              <w:rPr>
                <w:rFonts w:ascii="Calibri" w:eastAsia="Times New Roman" w:hAnsi="Calibri" w:cs="Times New Roman"/>
                <w:color w:val="000000"/>
              </w:rPr>
            </w:pPr>
            <w:r>
              <w:rPr>
                <w:rFonts w:ascii="Calibri" w:eastAsia="Times New Roman" w:hAnsi="Calibri" w:cs="Times New Roman"/>
                <w:color w:val="000000"/>
              </w:rPr>
              <w:t>“Gain 2012 Update”</w:t>
            </w:r>
          </w:p>
        </w:tc>
      </w:tr>
      <w:tr w:rsidR="00B01FE2" w:rsidRPr="00790356" w14:paraId="25C8287A" w14:textId="77777777" w:rsidTr="00B01FE2">
        <w:trPr>
          <w:trHeight w:val="300"/>
        </w:trPr>
        <w:tc>
          <w:tcPr>
            <w:tcW w:w="825" w:type="dxa"/>
            <w:tcBorders>
              <w:top w:val="nil"/>
              <w:left w:val="nil"/>
              <w:bottom w:val="nil"/>
              <w:right w:val="single" w:sz="4" w:space="0" w:color="auto"/>
            </w:tcBorders>
            <w:shd w:val="clear" w:color="auto" w:fill="FBD4B4" w:themeFill="accent6" w:themeFillTint="66"/>
            <w:vAlign w:val="bottom"/>
          </w:tcPr>
          <w:p w14:paraId="21C7DCA4" w14:textId="38E08A66" w:rsidR="00790356" w:rsidRDefault="00790356" w:rsidP="00F34925">
            <w:pPr>
              <w:jc w:val="center"/>
              <w:rPr>
                <w:rFonts w:ascii="Calibri" w:eastAsia="Times New Roman" w:hAnsi="Calibri" w:cs="Times New Roman"/>
                <w:color w:val="000000"/>
              </w:rPr>
            </w:pPr>
            <w:r>
              <w:rPr>
                <w:rFonts w:ascii="Calibri" w:eastAsia="Times New Roman" w:hAnsi="Calibri" w:cs="Times New Roman"/>
                <w:color w:val="000000"/>
              </w:rPr>
              <w:t>RANK</w:t>
            </w:r>
          </w:p>
        </w:tc>
        <w:tc>
          <w:tcPr>
            <w:tcW w:w="1440" w:type="dxa"/>
            <w:tcBorders>
              <w:top w:val="nil"/>
              <w:left w:val="single" w:sz="4" w:space="0" w:color="auto"/>
              <w:bottom w:val="nil"/>
              <w:right w:val="nil"/>
            </w:tcBorders>
            <w:shd w:val="clear" w:color="auto" w:fill="FBD4B4" w:themeFill="accent6" w:themeFillTint="66"/>
            <w:noWrap/>
            <w:vAlign w:val="bottom"/>
          </w:tcPr>
          <w:p w14:paraId="0B6834EE" w14:textId="192A36BC" w:rsidR="00790356" w:rsidRPr="00790356" w:rsidRDefault="00790356" w:rsidP="00F34925">
            <w:pPr>
              <w:jc w:val="center"/>
              <w:rPr>
                <w:rFonts w:ascii="Calibri" w:eastAsia="Times New Roman" w:hAnsi="Calibri" w:cs="Times New Roman"/>
                <w:color w:val="000000"/>
              </w:rPr>
            </w:pPr>
            <w:r>
              <w:rPr>
                <w:rFonts w:ascii="Calibri" w:eastAsia="Times New Roman" w:hAnsi="Calibri" w:cs="Times New Roman"/>
                <w:color w:val="000000"/>
              </w:rPr>
              <w:t>Country</w:t>
            </w:r>
          </w:p>
        </w:tc>
        <w:tc>
          <w:tcPr>
            <w:tcW w:w="1080" w:type="dxa"/>
            <w:tcBorders>
              <w:top w:val="nil"/>
              <w:left w:val="nil"/>
              <w:bottom w:val="nil"/>
              <w:right w:val="single" w:sz="4" w:space="0" w:color="auto"/>
            </w:tcBorders>
            <w:shd w:val="clear" w:color="auto" w:fill="FBD4B4" w:themeFill="accent6" w:themeFillTint="66"/>
            <w:noWrap/>
            <w:vAlign w:val="bottom"/>
          </w:tcPr>
          <w:p w14:paraId="37C34E87" w14:textId="0EC3BAC1" w:rsidR="00790356" w:rsidRPr="00790356" w:rsidRDefault="00542993" w:rsidP="00B01FE2">
            <w:pPr>
              <w:rPr>
                <w:rFonts w:ascii="Calibri" w:eastAsia="Times New Roman" w:hAnsi="Calibri" w:cs="Times New Roman"/>
                <w:color w:val="000000"/>
              </w:rPr>
            </w:pPr>
            <w:r>
              <w:rPr>
                <w:rFonts w:ascii="Calibri" w:eastAsia="Times New Roman" w:hAnsi="Calibri" w:cs="Times New Roman"/>
                <w:color w:val="000000"/>
              </w:rPr>
              <w:t>2010</w:t>
            </w:r>
          </w:p>
        </w:tc>
        <w:tc>
          <w:tcPr>
            <w:tcW w:w="1411" w:type="dxa"/>
            <w:tcBorders>
              <w:top w:val="nil"/>
              <w:left w:val="single" w:sz="4" w:space="0" w:color="auto"/>
              <w:bottom w:val="nil"/>
              <w:right w:val="nil"/>
            </w:tcBorders>
            <w:shd w:val="clear" w:color="auto" w:fill="FBD4B4" w:themeFill="accent6" w:themeFillTint="66"/>
            <w:noWrap/>
            <w:vAlign w:val="bottom"/>
          </w:tcPr>
          <w:p w14:paraId="5AA85022" w14:textId="1BBDD1BA" w:rsidR="00790356" w:rsidRPr="00790356" w:rsidRDefault="00790356" w:rsidP="00F34925">
            <w:pPr>
              <w:jc w:val="center"/>
              <w:rPr>
                <w:rFonts w:ascii="Calibri" w:eastAsia="Times New Roman" w:hAnsi="Calibri" w:cs="Times New Roman"/>
                <w:color w:val="000000"/>
              </w:rPr>
            </w:pPr>
            <w:r>
              <w:rPr>
                <w:rFonts w:ascii="Calibri" w:eastAsia="Times New Roman" w:hAnsi="Calibri" w:cs="Times New Roman"/>
                <w:color w:val="000000"/>
              </w:rPr>
              <w:t>Country</w:t>
            </w:r>
          </w:p>
        </w:tc>
        <w:tc>
          <w:tcPr>
            <w:tcW w:w="1350" w:type="dxa"/>
            <w:tcBorders>
              <w:top w:val="nil"/>
              <w:left w:val="nil"/>
              <w:bottom w:val="nil"/>
              <w:right w:val="nil"/>
            </w:tcBorders>
            <w:shd w:val="clear" w:color="auto" w:fill="FBD4B4" w:themeFill="accent6" w:themeFillTint="66"/>
            <w:noWrap/>
            <w:vAlign w:val="bottom"/>
          </w:tcPr>
          <w:p w14:paraId="0616FFF2" w14:textId="7919263B" w:rsidR="00790356" w:rsidRPr="00790356" w:rsidRDefault="00B50542" w:rsidP="00542993">
            <w:pPr>
              <w:jc w:val="center"/>
              <w:rPr>
                <w:rFonts w:ascii="Calibri" w:eastAsia="Times New Roman" w:hAnsi="Calibri" w:cs="Times New Roman"/>
                <w:color w:val="000000"/>
              </w:rPr>
            </w:pPr>
            <w:r>
              <w:rPr>
                <w:rFonts w:ascii="Calibri" w:eastAsia="Times New Roman" w:hAnsi="Calibri" w:cs="Times New Roman"/>
                <w:color w:val="000000"/>
              </w:rPr>
              <w:t>201</w:t>
            </w:r>
            <w:r w:rsidR="00542993">
              <w:rPr>
                <w:rFonts w:ascii="Calibri" w:eastAsia="Times New Roman" w:hAnsi="Calibri" w:cs="Times New Roman"/>
                <w:color w:val="000000"/>
              </w:rPr>
              <w:t>0</w:t>
            </w:r>
            <w:r>
              <w:rPr>
                <w:rFonts w:ascii="Calibri" w:eastAsia="Times New Roman" w:hAnsi="Calibri" w:cs="Times New Roman"/>
                <w:color w:val="000000"/>
              </w:rPr>
              <w:t xml:space="preserve"> </w:t>
            </w:r>
          </w:p>
        </w:tc>
        <w:tc>
          <w:tcPr>
            <w:tcW w:w="1479" w:type="dxa"/>
            <w:tcBorders>
              <w:top w:val="nil"/>
              <w:left w:val="nil"/>
              <w:bottom w:val="nil"/>
              <w:right w:val="nil"/>
            </w:tcBorders>
            <w:shd w:val="clear" w:color="auto" w:fill="FBD4B4" w:themeFill="accent6" w:themeFillTint="66"/>
            <w:noWrap/>
            <w:vAlign w:val="bottom"/>
          </w:tcPr>
          <w:p w14:paraId="3B65A75A" w14:textId="59CBB455" w:rsidR="00790356" w:rsidRPr="00790356" w:rsidRDefault="00790356" w:rsidP="00F34925">
            <w:pPr>
              <w:jc w:val="center"/>
              <w:rPr>
                <w:rFonts w:ascii="Calibri" w:eastAsia="Times New Roman" w:hAnsi="Calibri" w:cs="Times New Roman"/>
                <w:color w:val="000000"/>
              </w:rPr>
            </w:pPr>
            <w:r>
              <w:rPr>
                <w:rFonts w:ascii="Calibri" w:eastAsia="Times New Roman" w:hAnsi="Calibri" w:cs="Times New Roman"/>
                <w:color w:val="000000"/>
              </w:rPr>
              <w:t>Country</w:t>
            </w:r>
          </w:p>
        </w:tc>
        <w:tc>
          <w:tcPr>
            <w:tcW w:w="1199" w:type="dxa"/>
            <w:tcBorders>
              <w:top w:val="nil"/>
              <w:left w:val="nil"/>
              <w:bottom w:val="nil"/>
              <w:right w:val="nil"/>
            </w:tcBorders>
            <w:shd w:val="clear" w:color="auto" w:fill="FBD4B4" w:themeFill="accent6" w:themeFillTint="66"/>
            <w:noWrap/>
            <w:vAlign w:val="bottom"/>
          </w:tcPr>
          <w:p w14:paraId="45D209A0" w14:textId="67CCAE82" w:rsidR="00790356" w:rsidRPr="00790356" w:rsidRDefault="00542993" w:rsidP="00B50542">
            <w:pPr>
              <w:jc w:val="center"/>
              <w:rPr>
                <w:rFonts w:ascii="Calibri" w:eastAsia="Times New Roman" w:hAnsi="Calibri" w:cs="Times New Roman"/>
                <w:color w:val="000000"/>
              </w:rPr>
            </w:pPr>
            <w:r>
              <w:rPr>
                <w:rFonts w:ascii="Calibri" w:eastAsia="Times New Roman" w:hAnsi="Calibri" w:cs="Times New Roman"/>
                <w:color w:val="000000"/>
              </w:rPr>
              <w:t>2011</w:t>
            </w:r>
          </w:p>
        </w:tc>
      </w:tr>
      <w:tr w:rsidR="00B01FE2" w:rsidRPr="00790356" w14:paraId="61EA42B9" w14:textId="77777777" w:rsidTr="00B01FE2">
        <w:trPr>
          <w:trHeight w:val="300"/>
        </w:trPr>
        <w:tc>
          <w:tcPr>
            <w:tcW w:w="825" w:type="dxa"/>
            <w:tcBorders>
              <w:top w:val="nil"/>
              <w:left w:val="nil"/>
              <w:bottom w:val="nil"/>
              <w:right w:val="single" w:sz="4" w:space="0" w:color="auto"/>
            </w:tcBorders>
            <w:shd w:val="clear" w:color="auto" w:fill="D9D9D9" w:themeFill="background1" w:themeFillShade="D9"/>
          </w:tcPr>
          <w:p w14:paraId="6D328F5F" w14:textId="0662CA0C" w:rsidR="00790356" w:rsidRPr="00790356" w:rsidRDefault="00790356" w:rsidP="00F34925">
            <w:pPr>
              <w:rPr>
                <w:rFonts w:ascii="Calibri" w:eastAsia="Times New Roman" w:hAnsi="Calibri" w:cs="Times New Roman"/>
                <w:color w:val="000000"/>
              </w:rPr>
            </w:pPr>
            <w:r>
              <w:rPr>
                <w:rFonts w:ascii="Calibri" w:eastAsia="Times New Roman" w:hAnsi="Calibri" w:cs="Times New Roman"/>
                <w:color w:val="000000"/>
              </w:rPr>
              <w:t>1</w:t>
            </w:r>
          </w:p>
        </w:tc>
        <w:tc>
          <w:tcPr>
            <w:tcW w:w="1440" w:type="dxa"/>
            <w:tcBorders>
              <w:top w:val="nil"/>
              <w:left w:val="single" w:sz="4" w:space="0" w:color="auto"/>
              <w:bottom w:val="nil"/>
              <w:right w:val="nil"/>
            </w:tcBorders>
            <w:shd w:val="clear" w:color="auto" w:fill="D6E3BC" w:themeFill="accent3" w:themeFillTint="66"/>
            <w:noWrap/>
            <w:hideMark/>
          </w:tcPr>
          <w:p w14:paraId="3F076F17" w14:textId="244E5C2A"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Denmark</w:t>
            </w:r>
          </w:p>
        </w:tc>
        <w:tc>
          <w:tcPr>
            <w:tcW w:w="1080" w:type="dxa"/>
            <w:tcBorders>
              <w:top w:val="nil"/>
              <w:left w:val="nil"/>
              <w:bottom w:val="nil"/>
              <w:right w:val="single" w:sz="4" w:space="0" w:color="auto"/>
            </w:tcBorders>
            <w:shd w:val="clear" w:color="auto" w:fill="D6E3BC" w:themeFill="accent3" w:themeFillTint="66"/>
            <w:noWrap/>
            <w:hideMark/>
          </w:tcPr>
          <w:p w14:paraId="1B3D9D40"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85.36</w:t>
            </w:r>
          </w:p>
        </w:tc>
        <w:tc>
          <w:tcPr>
            <w:tcW w:w="1411" w:type="dxa"/>
            <w:tcBorders>
              <w:top w:val="nil"/>
              <w:left w:val="single" w:sz="4" w:space="0" w:color="auto"/>
              <w:bottom w:val="nil"/>
              <w:right w:val="nil"/>
            </w:tcBorders>
            <w:shd w:val="clear" w:color="auto" w:fill="B6DDE8" w:themeFill="accent5" w:themeFillTint="66"/>
            <w:noWrap/>
            <w:hideMark/>
          </w:tcPr>
          <w:p w14:paraId="25C65633"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Denmark</w:t>
            </w:r>
          </w:p>
        </w:tc>
        <w:tc>
          <w:tcPr>
            <w:tcW w:w="1350" w:type="dxa"/>
            <w:tcBorders>
              <w:top w:val="nil"/>
              <w:left w:val="nil"/>
              <w:bottom w:val="nil"/>
              <w:right w:val="nil"/>
            </w:tcBorders>
            <w:shd w:val="clear" w:color="auto" w:fill="B6DDE8" w:themeFill="accent5" w:themeFillTint="66"/>
            <w:noWrap/>
            <w:hideMark/>
          </w:tcPr>
          <w:p w14:paraId="44E5B3F9"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84.84</w:t>
            </w:r>
          </w:p>
        </w:tc>
        <w:tc>
          <w:tcPr>
            <w:tcW w:w="1479" w:type="dxa"/>
            <w:tcBorders>
              <w:top w:val="nil"/>
              <w:left w:val="nil"/>
              <w:bottom w:val="nil"/>
              <w:right w:val="nil"/>
            </w:tcBorders>
            <w:shd w:val="clear" w:color="auto" w:fill="E5B8B7" w:themeFill="accent2" w:themeFillTint="66"/>
            <w:noWrap/>
            <w:hideMark/>
          </w:tcPr>
          <w:p w14:paraId="3B36424E"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Denmark</w:t>
            </w:r>
          </w:p>
        </w:tc>
        <w:tc>
          <w:tcPr>
            <w:tcW w:w="1199" w:type="dxa"/>
            <w:tcBorders>
              <w:top w:val="nil"/>
              <w:left w:val="nil"/>
              <w:bottom w:val="nil"/>
              <w:right w:val="nil"/>
            </w:tcBorders>
            <w:shd w:val="clear" w:color="auto" w:fill="E5B8B7" w:themeFill="accent2" w:themeFillTint="66"/>
            <w:noWrap/>
            <w:hideMark/>
          </w:tcPr>
          <w:p w14:paraId="2B9A84ED"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84.76</w:t>
            </w:r>
          </w:p>
        </w:tc>
      </w:tr>
      <w:tr w:rsidR="00B01FE2" w:rsidRPr="00790356" w14:paraId="7DD25938" w14:textId="77777777" w:rsidTr="00B01FE2">
        <w:trPr>
          <w:trHeight w:val="300"/>
        </w:trPr>
        <w:tc>
          <w:tcPr>
            <w:tcW w:w="825" w:type="dxa"/>
            <w:tcBorders>
              <w:top w:val="nil"/>
              <w:left w:val="nil"/>
              <w:bottom w:val="nil"/>
              <w:right w:val="single" w:sz="4" w:space="0" w:color="auto"/>
            </w:tcBorders>
            <w:shd w:val="clear" w:color="auto" w:fill="D9D9D9" w:themeFill="background1" w:themeFillShade="D9"/>
          </w:tcPr>
          <w:p w14:paraId="3DFB6B18" w14:textId="16EDDEC4" w:rsidR="00790356" w:rsidRPr="00790356" w:rsidRDefault="00790356" w:rsidP="00F34925">
            <w:pPr>
              <w:rPr>
                <w:rFonts w:ascii="Calibri" w:eastAsia="Times New Roman" w:hAnsi="Calibri" w:cs="Times New Roman"/>
                <w:color w:val="000000"/>
              </w:rPr>
            </w:pPr>
            <w:r>
              <w:rPr>
                <w:rFonts w:ascii="Calibri" w:eastAsia="Times New Roman" w:hAnsi="Calibri" w:cs="Times New Roman"/>
                <w:color w:val="000000"/>
              </w:rPr>
              <w:t>2</w:t>
            </w:r>
          </w:p>
        </w:tc>
        <w:tc>
          <w:tcPr>
            <w:tcW w:w="1440" w:type="dxa"/>
            <w:tcBorders>
              <w:top w:val="nil"/>
              <w:left w:val="single" w:sz="4" w:space="0" w:color="auto"/>
              <w:bottom w:val="nil"/>
              <w:right w:val="nil"/>
            </w:tcBorders>
            <w:shd w:val="clear" w:color="auto" w:fill="D6E3BC" w:themeFill="accent3" w:themeFillTint="66"/>
            <w:noWrap/>
            <w:hideMark/>
          </w:tcPr>
          <w:p w14:paraId="730EB01C" w14:textId="47B320BA"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Switzerland</w:t>
            </w:r>
          </w:p>
        </w:tc>
        <w:tc>
          <w:tcPr>
            <w:tcW w:w="1080" w:type="dxa"/>
            <w:tcBorders>
              <w:top w:val="nil"/>
              <w:left w:val="nil"/>
              <w:bottom w:val="nil"/>
              <w:right w:val="single" w:sz="4" w:space="0" w:color="auto"/>
            </w:tcBorders>
            <w:shd w:val="clear" w:color="auto" w:fill="D6E3BC" w:themeFill="accent3" w:themeFillTint="66"/>
            <w:noWrap/>
            <w:hideMark/>
          </w:tcPr>
          <w:p w14:paraId="15871A82"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83.59</w:t>
            </w:r>
          </w:p>
        </w:tc>
        <w:tc>
          <w:tcPr>
            <w:tcW w:w="1411" w:type="dxa"/>
            <w:tcBorders>
              <w:top w:val="nil"/>
              <w:left w:val="single" w:sz="4" w:space="0" w:color="auto"/>
              <w:bottom w:val="nil"/>
              <w:right w:val="nil"/>
            </w:tcBorders>
            <w:shd w:val="clear" w:color="auto" w:fill="B6DDE8" w:themeFill="accent5" w:themeFillTint="66"/>
            <w:noWrap/>
            <w:hideMark/>
          </w:tcPr>
          <w:p w14:paraId="7B10BC46"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Australia</w:t>
            </w:r>
          </w:p>
        </w:tc>
        <w:tc>
          <w:tcPr>
            <w:tcW w:w="1350" w:type="dxa"/>
            <w:tcBorders>
              <w:top w:val="nil"/>
              <w:left w:val="nil"/>
              <w:bottom w:val="nil"/>
              <w:right w:val="nil"/>
            </w:tcBorders>
            <w:shd w:val="clear" w:color="auto" w:fill="B6DDE8" w:themeFill="accent5" w:themeFillTint="66"/>
            <w:noWrap/>
            <w:hideMark/>
          </w:tcPr>
          <w:p w14:paraId="4C13BB78"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83.91</w:t>
            </w:r>
          </w:p>
        </w:tc>
        <w:tc>
          <w:tcPr>
            <w:tcW w:w="1479" w:type="dxa"/>
            <w:tcBorders>
              <w:top w:val="nil"/>
              <w:left w:val="nil"/>
              <w:bottom w:val="nil"/>
              <w:right w:val="nil"/>
            </w:tcBorders>
            <w:shd w:val="clear" w:color="auto" w:fill="E5B8B7" w:themeFill="accent2" w:themeFillTint="66"/>
            <w:noWrap/>
            <w:hideMark/>
          </w:tcPr>
          <w:p w14:paraId="2C0BD61E"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Australia</w:t>
            </w:r>
          </w:p>
        </w:tc>
        <w:tc>
          <w:tcPr>
            <w:tcW w:w="1199" w:type="dxa"/>
            <w:tcBorders>
              <w:top w:val="nil"/>
              <w:left w:val="nil"/>
              <w:bottom w:val="nil"/>
              <w:right w:val="nil"/>
            </w:tcBorders>
            <w:shd w:val="clear" w:color="auto" w:fill="E5B8B7" w:themeFill="accent2" w:themeFillTint="66"/>
            <w:noWrap/>
            <w:hideMark/>
          </w:tcPr>
          <w:p w14:paraId="5D220979"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84.39</w:t>
            </w:r>
          </w:p>
        </w:tc>
      </w:tr>
      <w:tr w:rsidR="00B01FE2" w:rsidRPr="00790356" w14:paraId="3624B289" w14:textId="77777777" w:rsidTr="00B01FE2">
        <w:trPr>
          <w:trHeight w:val="300"/>
        </w:trPr>
        <w:tc>
          <w:tcPr>
            <w:tcW w:w="825" w:type="dxa"/>
            <w:tcBorders>
              <w:top w:val="nil"/>
              <w:left w:val="nil"/>
              <w:bottom w:val="nil"/>
              <w:right w:val="single" w:sz="4" w:space="0" w:color="auto"/>
            </w:tcBorders>
            <w:shd w:val="clear" w:color="auto" w:fill="D9D9D9" w:themeFill="background1" w:themeFillShade="D9"/>
          </w:tcPr>
          <w:p w14:paraId="7C70E382" w14:textId="3E87C5B8" w:rsidR="00790356" w:rsidRPr="00790356" w:rsidRDefault="00790356" w:rsidP="00F34925">
            <w:pPr>
              <w:rPr>
                <w:rFonts w:ascii="Calibri" w:eastAsia="Times New Roman" w:hAnsi="Calibri" w:cs="Times New Roman"/>
                <w:color w:val="000000"/>
              </w:rPr>
            </w:pPr>
            <w:r>
              <w:rPr>
                <w:rFonts w:ascii="Calibri" w:eastAsia="Times New Roman" w:hAnsi="Calibri" w:cs="Times New Roman"/>
                <w:color w:val="000000"/>
              </w:rPr>
              <w:t>3</w:t>
            </w:r>
          </w:p>
        </w:tc>
        <w:tc>
          <w:tcPr>
            <w:tcW w:w="1440" w:type="dxa"/>
            <w:tcBorders>
              <w:top w:val="nil"/>
              <w:left w:val="single" w:sz="4" w:space="0" w:color="auto"/>
              <w:bottom w:val="nil"/>
              <w:right w:val="nil"/>
            </w:tcBorders>
            <w:shd w:val="clear" w:color="auto" w:fill="D6E3BC" w:themeFill="accent3" w:themeFillTint="66"/>
            <w:noWrap/>
            <w:hideMark/>
          </w:tcPr>
          <w:p w14:paraId="09B5B9A0" w14:textId="7148444B"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Ireland</w:t>
            </w:r>
          </w:p>
        </w:tc>
        <w:tc>
          <w:tcPr>
            <w:tcW w:w="1080" w:type="dxa"/>
            <w:tcBorders>
              <w:top w:val="nil"/>
              <w:left w:val="nil"/>
              <w:bottom w:val="nil"/>
              <w:right w:val="single" w:sz="4" w:space="0" w:color="auto"/>
            </w:tcBorders>
            <w:shd w:val="clear" w:color="auto" w:fill="D6E3BC" w:themeFill="accent3" w:themeFillTint="66"/>
            <w:noWrap/>
            <w:hideMark/>
          </w:tcPr>
          <w:p w14:paraId="1B9EE168"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82.24</w:t>
            </w:r>
          </w:p>
        </w:tc>
        <w:tc>
          <w:tcPr>
            <w:tcW w:w="1411" w:type="dxa"/>
            <w:tcBorders>
              <w:top w:val="nil"/>
              <w:left w:val="single" w:sz="4" w:space="0" w:color="auto"/>
              <w:bottom w:val="nil"/>
              <w:right w:val="nil"/>
            </w:tcBorders>
            <w:shd w:val="clear" w:color="auto" w:fill="B6DDE8" w:themeFill="accent5" w:themeFillTint="66"/>
            <w:noWrap/>
            <w:hideMark/>
          </w:tcPr>
          <w:p w14:paraId="393A01B0"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Norway</w:t>
            </w:r>
          </w:p>
        </w:tc>
        <w:tc>
          <w:tcPr>
            <w:tcW w:w="1350" w:type="dxa"/>
            <w:tcBorders>
              <w:top w:val="nil"/>
              <w:left w:val="nil"/>
              <w:bottom w:val="nil"/>
              <w:right w:val="nil"/>
            </w:tcBorders>
            <w:shd w:val="clear" w:color="auto" w:fill="B6DDE8" w:themeFill="accent5" w:themeFillTint="66"/>
            <w:noWrap/>
            <w:hideMark/>
          </w:tcPr>
          <w:p w14:paraId="015F8B8B"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81.97</w:t>
            </w:r>
          </w:p>
        </w:tc>
        <w:tc>
          <w:tcPr>
            <w:tcW w:w="1479" w:type="dxa"/>
            <w:tcBorders>
              <w:top w:val="nil"/>
              <w:left w:val="nil"/>
              <w:bottom w:val="nil"/>
              <w:right w:val="nil"/>
            </w:tcBorders>
            <w:shd w:val="clear" w:color="auto" w:fill="E5B8B7" w:themeFill="accent2" w:themeFillTint="66"/>
            <w:noWrap/>
            <w:hideMark/>
          </w:tcPr>
          <w:p w14:paraId="4978F55D"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Norway</w:t>
            </w:r>
          </w:p>
        </w:tc>
        <w:tc>
          <w:tcPr>
            <w:tcW w:w="1199" w:type="dxa"/>
            <w:tcBorders>
              <w:top w:val="nil"/>
              <w:left w:val="nil"/>
              <w:bottom w:val="nil"/>
              <w:right w:val="nil"/>
            </w:tcBorders>
            <w:shd w:val="clear" w:color="auto" w:fill="E5B8B7" w:themeFill="accent2" w:themeFillTint="66"/>
            <w:noWrap/>
            <w:hideMark/>
          </w:tcPr>
          <w:p w14:paraId="4069CE86"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82.18</w:t>
            </w:r>
          </w:p>
        </w:tc>
      </w:tr>
      <w:tr w:rsidR="00B01FE2" w:rsidRPr="00790356" w14:paraId="546739D8" w14:textId="77777777" w:rsidTr="00B01FE2">
        <w:trPr>
          <w:trHeight w:val="300"/>
        </w:trPr>
        <w:tc>
          <w:tcPr>
            <w:tcW w:w="825" w:type="dxa"/>
            <w:tcBorders>
              <w:top w:val="nil"/>
              <w:left w:val="nil"/>
              <w:bottom w:val="nil"/>
              <w:right w:val="single" w:sz="4" w:space="0" w:color="auto"/>
            </w:tcBorders>
            <w:shd w:val="clear" w:color="auto" w:fill="D9D9D9" w:themeFill="background1" w:themeFillShade="D9"/>
          </w:tcPr>
          <w:p w14:paraId="316AF773" w14:textId="79B8E660" w:rsidR="00790356" w:rsidRPr="00790356" w:rsidRDefault="00790356" w:rsidP="00F34925">
            <w:pPr>
              <w:rPr>
                <w:rFonts w:ascii="Calibri" w:eastAsia="Times New Roman" w:hAnsi="Calibri" w:cs="Times New Roman"/>
                <w:color w:val="000000"/>
              </w:rPr>
            </w:pPr>
            <w:r>
              <w:rPr>
                <w:rFonts w:ascii="Calibri" w:eastAsia="Times New Roman" w:hAnsi="Calibri" w:cs="Times New Roman"/>
                <w:color w:val="000000"/>
              </w:rPr>
              <w:t>4</w:t>
            </w:r>
          </w:p>
        </w:tc>
        <w:tc>
          <w:tcPr>
            <w:tcW w:w="1440" w:type="dxa"/>
            <w:tcBorders>
              <w:top w:val="nil"/>
              <w:left w:val="single" w:sz="4" w:space="0" w:color="auto"/>
              <w:bottom w:val="nil"/>
              <w:right w:val="nil"/>
            </w:tcBorders>
            <w:shd w:val="clear" w:color="auto" w:fill="D6E3BC" w:themeFill="accent3" w:themeFillTint="66"/>
            <w:noWrap/>
            <w:hideMark/>
          </w:tcPr>
          <w:p w14:paraId="38E21307" w14:textId="11D4F295"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Australia</w:t>
            </w:r>
          </w:p>
        </w:tc>
        <w:tc>
          <w:tcPr>
            <w:tcW w:w="1080" w:type="dxa"/>
            <w:tcBorders>
              <w:top w:val="nil"/>
              <w:left w:val="nil"/>
              <w:bottom w:val="nil"/>
              <w:right w:val="single" w:sz="4" w:space="0" w:color="auto"/>
            </w:tcBorders>
            <w:shd w:val="clear" w:color="auto" w:fill="D6E3BC" w:themeFill="accent3" w:themeFillTint="66"/>
            <w:noWrap/>
            <w:hideMark/>
          </w:tcPr>
          <w:p w14:paraId="5400C48A"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82.03</w:t>
            </w:r>
          </w:p>
        </w:tc>
        <w:tc>
          <w:tcPr>
            <w:tcW w:w="1411" w:type="dxa"/>
            <w:tcBorders>
              <w:top w:val="nil"/>
              <w:left w:val="single" w:sz="4" w:space="0" w:color="auto"/>
              <w:bottom w:val="nil"/>
              <w:right w:val="nil"/>
            </w:tcBorders>
            <w:shd w:val="clear" w:color="auto" w:fill="B6DDE8" w:themeFill="accent5" w:themeFillTint="66"/>
            <w:noWrap/>
            <w:hideMark/>
          </w:tcPr>
          <w:p w14:paraId="3C80C989"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Switzerland</w:t>
            </w:r>
          </w:p>
        </w:tc>
        <w:tc>
          <w:tcPr>
            <w:tcW w:w="1350" w:type="dxa"/>
            <w:tcBorders>
              <w:top w:val="nil"/>
              <w:left w:val="nil"/>
              <w:bottom w:val="nil"/>
              <w:right w:val="nil"/>
            </w:tcBorders>
            <w:shd w:val="clear" w:color="auto" w:fill="B6DDE8" w:themeFill="accent5" w:themeFillTint="66"/>
            <w:noWrap/>
            <w:hideMark/>
          </w:tcPr>
          <w:p w14:paraId="33C059B9"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81.01</w:t>
            </w:r>
          </w:p>
        </w:tc>
        <w:tc>
          <w:tcPr>
            <w:tcW w:w="1479" w:type="dxa"/>
            <w:tcBorders>
              <w:top w:val="nil"/>
              <w:left w:val="nil"/>
              <w:bottom w:val="nil"/>
              <w:right w:val="nil"/>
            </w:tcBorders>
            <w:shd w:val="clear" w:color="auto" w:fill="E5B8B7" w:themeFill="accent2" w:themeFillTint="66"/>
            <w:noWrap/>
            <w:hideMark/>
          </w:tcPr>
          <w:p w14:paraId="753ED696"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Switzerland</w:t>
            </w:r>
          </w:p>
        </w:tc>
        <w:tc>
          <w:tcPr>
            <w:tcW w:w="1199" w:type="dxa"/>
            <w:tcBorders>
              <w:top w:val="nil"/>
              <w:left w:val="nil"/>
              <w:bottom w:val="nil"/>
              <w:right w:val="nil"/>
            </w:tcBorders>
            <w:shd w:val="clear" w:color="auto" w:fill="E5B8B7" w:themeFill="accent2" w:themeFillTint="66"/>
            <w:noWrap/>
            <w:hideMark/>
          </w:tcPr>
          <w:p w14:paraId="06BB242B"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81.56</w:t>
            </w:r>
          </w:p>
        </w:tc>
      </w:tr>
      <w:tr w:rsidR="00B01FE2" w:rsidRPr="00790356" w14:paraId="0B69BE95" w14:textId="77777777" w:rsidTr="00B01FE2">
        <w:trPr>
          <w:trHeight w:val="300"/>
        </w:trPr>
        <w:tc>
          <w:tcPr>
            <w:tcW w:w="825" w:type="dxa"/>
            <w:tcBorders>
              <w:top w:val="nil"/>
              <w:left w:val="nil"/>
              <w:bottom w:val="nil"/>
              <w:right w:val="single" w:sz="4" w:space="0" w:color="auto"/>
            </w:tcBorders>
            <w:shd w:val="clear" w:color="auto" w:fill="D9D9D9" w:themeFill="background1" w:themeFillShade="D9"/>
          </w:tcPr>
          <w:p w14:paraId="7A44F20B" w14:textId="456AFC77" w:rsidR="00790356" w:rsidRPr="00790356" w:rsidRDefault="00790356" w:rsidP="00F34925">
            <w:pPr>
              <w:rPr>
                <w:rFonts w:ascii="Calibri" w:eastAsia="Times New Roman" w:hAnsi="Calibri" w:cs="Times New Roman"/>
                <w:color w:val="000000"/>
              </w:rPr>
            </w:pPr>
            <w:r>
              <w:rPr>
                <w:rFonts w:ascii="Calibri" w:eastAsia="Times New Roman" w:hAnsi="Calibri" w:cs="Times New Roman"/>
                <w:color w:val="000000"/>
              </w:rPr>
              <w:t>5</w:t>
            </w:r>
          </w:p>
        </w:tc>
        <w:tc>
          <w:tcPr>
            <w:tcW w:w="1440" w:type="dxa"/>
            <w:tcBorders>
              <w:top w:val="nil"/>
              <w:left w:val="single" w:sz="4" w:space="0" w:color="auto"/>
              <w:bottom w:val="nil"/>
              <w:right w:val="nil"/>
            </w:tcBorders>
            <w:shd w:val="clear" w:color="auto" w:fill="D6E3BC" w:themeFill="accent3" w:themeFillTint="66"/>
            <w:noWrap/>
            <w:hideMark/>
          </w:tcPr>
          <w:p w14:paraId="17230477" w14:textId="790C1BD9"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N</w:t>
            </w:r>
            <w:r w:rsidR="00F34925">
              <w:rPr>
                <w:rFonts w:ascii="Calibri" w:eastAsia="Times New Roman" w:hAnsi="Calibri" w:cs="Times New Roman"/>
                <w:color w:val="000000"/>
              </w:rPr>
              <w:t xml:space="preserve">. </w:t>
            </w:r>
            <w:r w:rsidRPr="00790356">
              <w:rPr>
                <w:rFonts w:ascii="Calibri" w:eastAsia="Times New Roman" w:hAnsi="Calibri" w:cs="Times New Roman"/>
                <w:color w:val="000000"/>
              </w:rPr>
              <w:t>Zealand</w:t>
            </w:r>
          </w:p>
        </w:tc>
        <w:tc>
          <w:tcPr>
            <w:tcW w:w="1080" w:type="dxa"/>
            <w:tcBorders>
              <w:top w:val="nil"/>
              <w:left w:val="nil"/>
              <w:bottom w:val="nil"/>
              <w:right w:val="single" w:sz="4" w:space="0" w:color="auto"/>
            </w:tcBorders>
            <w:shd w:val="clear" w:color="auto" w:fill="D6E3BC" w:themeFill="accent3" w:themeFillTint="66"/>
            <w:noWrap/>
            <w:hideMark/>
          </w:tcPr>
          <w:p w14:paraId="356EF969"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81.70</w:t>
            </w:r>
          </w:p>
        </w:tc>
        <w:tc>
          <w:tcPr>
            <w:tcW w:w="1411" w:type="dxa"/>
            <w:tcBorders>
              <w:top w:val="nil"/>
              <w:left w:val="single" w:sz="4" w:space="0" w:color="auto"/>
              <w:bottom w:val="nil"/>
              <w:right w:val="nil"/>
            </w:tcBorders>
            <w:shd w:val="clear" w:color="auto" w:fill="B6DDE8" w:themeFill="accent5" w:themeFillTint="66"/>
            <w:noWrap/>
            <w:hideMark/>
          </w:tcPr>
          <w:p w14:paraId="7D63031D"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Finland</w:t>
            </w:r>
          </w:p>
        </w:tc>
        <w:tc>
          <w:tcPr>
            <w:tcW w:w="1350" w:type="dxa"/>
            <w:tcBorders>
              <w:top w:val="nil"/>
              <w:left w:val="nil"/>
              <w:bottom w:val="nil"/>
              <w:right w:val="nil"/>
            </w:tcBorders>
            <w:shd w:val="clear" w:color="auto" w:fill="B6DDE8" w:themeFill="accent5" w:themeFillTint="66"/>
            <w:noWrap/>
            <w:hideMark/>
          </w:tcPr>
          <w:p w14:paraId="5A7B64CC"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80.49</w:t>
            </w:r>
          </w:p>
        </w:tc>
        <w:tc>
          <w:tcPr>
            <w:tcW w:w="1479" w:type="dxa"/>
            <w:tcBorders>
              <w:top w:val="nil"/>
              <w:left w:val="nil"/>
              <w:bottom w:val="nil"/>
              <w:right w:val="nil"/>
            </w:tcBorders>
            <w:shd w:val="clear" w:color="auto" w:fill="E5B8B7" w:themeFill="accent2" w:themeFillTint="66"/>
            <w:noWrap/>
            <w:hideMark/>
          </w:tcPr>
          <w:p w14:paraId="4AD6CA4A"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Finland</w:t>
            </w:r>
          </w:p>
        </w:tc>
        <w:tc>
          <w:tcPr>
            <w:tcW w:w="1199" w:type="dxa"/>
            <w:tcBorders>
              <w:top w:val="nil"/>
              <w:left w:val="nil"/>
              <w:bottom w:val="nil"/>
              <w:right w:val="nil"/>
            </w:tcBorders>
            <w:shd w:val="clear" w:color="auto" w:fill="E5B8B7" w:themeFill="accent2" w:themeFillTint="66"/>
            <w:noWrap/>
            <w:hideMark/>
          </w:tcPr>
          <w:p w14:paraId="2D1B4D1B"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80.92</w:t>
            </w:r>
          </w:p>
        </w:tc>
      </w:tr>
      <w:tr w:rsidR="00B01FE2" w:rsidRPr="00790356" w14:paraId="6A0CB781" w14:textId="77777777" w:rsidTr="00B01FE2">
        <w:trPr>
          <w:trHeight w:val="300"/>
        </w:trPr>
        <w:tc>
          <w:tcPr>
            <w:tcW w:w="825" w:type="dxa"/>
            <w:tcBorders>
              <w:top w:val="nil"/>
              <w:left w:val="nil"/>
              <w:bottom w:val="nil"/>
              <w:right w:val="single" w:sz="4" w:space="0" w:color="auto"/>
            </w:tcBorders>
            <w:shd w:val="clear" w:color="auto" w:fill="D9D9D9" w:themeFill="background1" w:themeFillShade="D9"/>
          </w:tcPr>
          <w:p w14:paraId="0DBD69F9" w14:textId="34644A5B" w:rsidR="00790356" w:rsidRPr="00790356" w:rsidRDefault="00790356" w:rsidP="00F34925">
            <w:pPr>
              <w:rPr>
                <w:rFonts w:ascii="Calibri" w:eastAsia="Times New Roman" w:hAnsi="Calibri" w:cs="Times New Roman"/>
                <w:color w:val="000000"/>
              </w:rPr>
            </w:pPr>
            <w:r>
              <w:rPr>
                <w:rFonts w:ascii="Calibri" w:eastAsia="Times New Roman" w:hAnsi="Calibri" w:cs="Times New Roman"/>
                <w:color w:val="000000"/>
              </w:rPr>
              <w:t>6</w:t>
            </w:r>
          </w:p>
        </w:tc>
        <w:tc>
          <w:tcPr>
            <w:tcW w:w="1440" w:type="dxa"/>
            <w:tcBorders>
              <w:top w:val="nil"/>
              <w:left w:val="single" w:sz="4" w:space="0" w:color="auto"/>
              <w:bottom w:val="nil"/>
              <w:right w:val="nil"/>
            </w:tcBorders>
            <w:shd w:val="clear" w:color="auto" w:fill="D6E3BC" w:themeFill="accent3" w:themeFillTint="66"/>
            <w:noWrap/>
            <w:hideMark/>
          </w:tcPr>
          <w:p w14:paraId="72C10F53" w14:textId="42067B85"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Finland</w:t>
            </w:r>
          </w:p>
        </w:tc>
        <w:tc>
          <w:tcPr>
            <w:tcW w:w="1080" w:type="dxa"/>
            <w:tcBorders>
              <w:top w:val="nil"/>
              <w:left w:val="nil"/>
              <w:bottom w:val="nil"/>
              <w:right w:val="single" w:sz="4" w:space="0" w:color="auto"/>
            </w:tcBorders>
            <w:shd w:val="clear" w:color="auto" w:fill="D6E3BC" w:themeFill="accent3" w:themeFillTint="66"/>
            <w:noWrap/>
            <w:hideMark/>
          </w:tcPr>
          <w:p w14:paraId="7375E201"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81.65</w:t>
            </w:r>
          </w:p>
        </w:tc>
        <w:tc>
          <w:tcPr>
            <w:tcW w:w="1411" w:type="dxa"/>
            <w:tcBorders>
              <w:top w:val="nil"/>
              <w:left w:val="single" w:sz="4" w:space="0" w:color="auto"/>
              <w:bottom w:val="nil"/>
              <w:right w:val="nil"/>
            </w:tcBorders>
            <w:shd w:val="clear" w:color="auto" w:fill="B6DDE8" w:themeFill="accent5" w:themeFillTint="66"/>
            <w:noWrap/>
            <w:hideMark/>
          </w:tcPr>
          <w:p w14:paraId="0C6C2E23" w14:textId="1EF5D0D5"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N</w:t>
            </w:r>
            <w:r w:rsidR="00F34925">
              <w:rPr>
                <w:rFonts w:ascii="Calibri" w:eastAsia="Times New Roman" w:hAnsi="Calibri" w:cs="Times New Roman"/>
                <w:color w:val="000000"/>
              </w:rPr>
              <w:t xml:space="preserve">. </w:t>
            </w:r>
            <w:r w:rsidRPr="00790356">
              <w:rPr>
                <w:rFonts w:ascii="Calibri" w:eastAsia="Times New Roman" w:hAnsi="Calibri" w:cs="Times New Roman"/>
                <w:color w:val="000000"/>
              </w:rPr>
              <w:t>Zealand</w:t>
            </w:r>
          </w:p>
        </w:tc>
        <w:tc>
          <w:tcPr>
            <w:tcW w:w="1350" w:type="dxa"/>
            <w:tcBorders>
              <w:top w:val="nil"/>
              <w:left w:val="nil"/>
              <w:bottom w:val="nil"/>
              <w:right w:val="nil"/>
            </w:tcBorders>
            <w:shd w:val="clear" w:color="auto" w:fill="B6DDE8" w:themeFill="accent5" w:themeFillTint="66"/>
            <w:noWrap/>
            <w:hideMark/>
          </w:tcPr>
          <w:p w14:paraId="2D32AC3D"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79.99</w:t>
            </w:r>
          </w:p>
        </w:tc>
        <w:tc>
          <w:tcPr>
            <w:tcW w:w="1479" w:type="dxa"/>
            <w:tcBorders>
              <w:top w:val="nil"/>
              <w:left w:val="nil"/>
              <w:bottom w:val="nil"/>
              <w:right w:val="nil"/>
            </w:tcBorders>
            <w:shd w:val="clear" w:color="auto" w:fill="E5B8B7" w:themeFill="accent2" w:themeFillTint="66"/>
            <w:noWrap/>
            <w:hideMark/>
          </w:tcPr>
          <w:p w14:paraId="0C066A7E"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Ireland</w:t>
            </w:r>
          </w:p>
        </w:tc>
        <w:tc>
          <w:tcPr>
            <w:tcW w:w="1199" w:type="dxa"/>
            <w:tcBorders>
              <w:top w:val="nil"/>
              <w:left w:val="nil"/>
              <w:bottom w:val="nil"/>
              <w:right w:val="nil"/>
            </w:tcBorders>
            <w:shd w:val="clear" w:color="auto" w:fill="E5B8B7" w:themeFill="accent2" w:themeFillTint="66"/>
            <w:noWrap/>
            <w:hideMark/>
          </w:tcPr>
          <w:p w14:paraId="6D301E71"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80.25</w:t>
            </w:r>
          </w:p>
        </w:tc>
      </w:tr>
      <w:tr w:rsidR="00B01FE2" w:rsidRPr="00790356" w14:paraId="0CBCAA8B" w14:textId="77777777" w:rsidTr="00B01FE2">
        <w:trPr>
          <w:trHeight w:val="300"/>
        </w:trPr>
        <w:tc>
          <w:tcPr>
            <w:tcW w:w="825" w:type="dxa"/>
            <w:tcBorders>
              <w:top w:val="nil"/>
              <w:left w:val="nil"/>
              <w:bottom w:val="nil"/>
              <w:right w:val="single" w:sz="4" w:space="0" w:color="auto"/>
            </w:tcBorders>
            <w:shd w:val="clear" w:color="auto" w:fill="D9D9D9" w:themeFill="background1" w:themeFillShade="D9"/>
          </w:tcPr>
          <w:p w14:paraId="5EFED686" w14:textId="068558D5" w:rsidR="00790356" w:rsidRPr="00790356" w:rsidRDefault="00790356" w:rsidP="00F34925">
            <w:pPr>
              <w:rPr>
                <w:rFonts w:ascii="Calibri" w:eastAsia="Times New Roman" w:hAnsi="Calibri" w:cs="Times New Roman"/>
                <w:color w:val="000000"/>
              </w:rPr>
            </w:pPr>
            <w:r>
              <w:rPr>
                <w:rFonts w:ascii="Calibri" w:eastAsia="Times New Roman" w:hAnsi="Calibri" w:cs="Times New Roman"/>
                <w:color w:val="000000"/>
              </w:rPr>
              <w:t>7</w:t>
            </w:r>
          </w:p>
        </w:tc>
        <w:tc>
          <w:tcPr>
            <w:tcW w:w="1440" w:type="dxa"/>
            <w:tcBorders>
              <w:top w:val="nil"/>
              <w:left w:val="single" w:sz="4" w:space="0" w:color="auto"/>
              <w:bottom w:val="nil"/>
              <w:right w:val="nil"/>
            </w:tcBorders>
            <w:shd w:val="clear" w:color="auto" w:fill="D6E3BC" w:themeFill="accent3" w:themeFillTint="66"/>
            <w:noWrap/>
            <w:hideMark/>
          </w:tcPr>
          <w:p w14:paraId="04E8C3C8" w14:textId="369721F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Norway</w:t>
            </w:r>
          </w:p>
        </w:tc>
        <w:tc>
          <w:tcPr>
            <w:tcW w:w="1080" w:type="dxa"/>
            <w:tcBorders>
              <w:top w:val="nil"/>
              <w:left w:val="nil"/>
              <w:bottom w:val="nil"/>
              <w:right w:val="single" w:sz="4" w:space="0" w:color="auto"/>
            </w:tcBorders>
            <w:shd w:val="clear" w:color="auto" w:fill="D6E3BC" w:themeFill="accent3" w:themeFillTint="66"/>
            <w:noWrap/>
            <w:hideMark/>
          </w:tcPr>
          <w:p w14:paraId="70AB830E"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81.41</w:t>
            </w:r>
          </w:p>
        </w:tc>
        <w:tc>
          <w:tcPr>
            <w:tcW w:w="1411" w:type="dxa"/>
            <w:tcBorders>
              <w:top w:val="nil"/>
              <w:left w:val="single" w:sz="4" w:space="0" w:color="auto"/>
              <w:bottom w:val="nil"/>
              <w:right w:val="nil"/>
            </w:tcBorders>
            <w:shd w:val="clear" w:color="auto" w:fill="B6DDE8" w:themeFill="accent5" w:themeFillTint="66"/>
            <w:noWrap/>
            <w:hideMark/>
          </w:tcPr>
          <w:p w14:paraId="7ECFA126"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Ireland</w:t>
            </w:r>
          </w:p>
        </w:tc>
        <w:tc>
          <w:tcPr>
            <w:tcW w:w="1350" w:type="dxa"/>
            <w:tcBorders>
              <w:top w:val="nil"/>
              <w:left w:val="nil"/>
              <w:bottom w:val="nil"/>
              <w:right w:val="nil"/>
            </w:tcBorders>
            <w:shd w:val="clear" w:color="auto" w:fill="B6DDE8" w:themeFill="accent5" w:themeFillTint="66"/>
            <w:noWrap/>
            <w:hideMark/>
          </w:tcPr>
          <w:p w14:paraId="7E6632C0"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79.79</w:t>
            </w:r>
          </w:p>
        </w:tc>
        <w:tc>
          <w:tcPr>
            <w:tcW w:w="1479" w:type="dxa"/>
            <w:tcBorders>
              <w:top w:val="nil"/>
              <w:left w:val="nil"/>
              <w:bottom w:val="nil"/>
              <w:right w:val="nil"/>
            </w:tcBorders>
            <w:shd w:val="clear" w:color="auto" w:fill="E5B8B7" w:themeFill="accent2" w:themeFillTint="66"/>
            <w:noWrap/>
            <w:hideMark/>
          </w:tcPr>
          <w:p w14:paraId="31B5EB02" w14:textId="663E1A23" w:rsidR="00790356" w:rsidRPr="00790356" w:rsidRDefault="00F34925" w:rsidP="00F34925">
            <w:pPr>
              <w:rPr>
                <w:rFonts w:ascii="Calibri" w:eastAsia="Times New Roman" w:hAnsi="Calibri" w:cs="Times New Roman"/>
                <w:color w:val="000000"/>
              </w:rPr>
            </w:pPr>
            <w:r>
              <w:rPr>
                <w:rFonts w:ascii="Calibri" w:eastAsia="Times New Roman" w:hAnsi="Calibri" w:cs="Times New Roman"/>
                <w:color w:val="000000"/>
              </w:rPr>
              <w:t xml:space="preserve">N. </w:t>
            </w:r>
            <w:r w:rsidR="00790356" w:rsidRPr="00790356">
              <w:rPr>
                <w:rFonts w:ascii="Calibri" w:eastAsia="Times New Roman" w:hAnsi="Calibri" w:cs="Times New Roman"/>
                <w:color w:val="000000"/>
              </w:rPr>
              <w:t>Zeal</w:t>
            </w:r>
            <w:r>
              <w:rPr>
                <w:rFonts w:ascii="Calibri" w:eastAsia="Times New Roman" w:hAnsi="Calibri" w:cs="Times New Roman"/>
                <w:color w:val="000000"/>
              </w:rPr>
              <w:t>and</w:t>
            </w:r>
          </w:p>
        </w:tc>
        <w:tc>
          <w:tcPr>
            <w:tcW w:w="1199" w:type="dxa"/>
            <w:tcBorders>
              <w:top w:val="nil"/>
              <w:left w:val="nil"/>
              <w:bottom w:val="nil"/>
              <w:right w:val="nil"/>
            </w:tcBorders>
            <w:shd w:val="clear" w:color="auto" w:fill="E5B8B7" w:themeFill="accent2" w:themeFillTint="66"/>
            <w:noWrap/>
            <w:hideMark/>
          </w:tcPr>
          <w:p w14:paraId="2B057DED"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80.26</w:t>
            </w:r>
          </w:p>
        </w:tc>
      </w:tr>
      <w:tr w:rsidR="00B01FE2" w:rsidRPr="00790356" w14:paraId="6E9B9B9F" w14:textId="77777777" w:rsidTr="00B01FE2">
        <w:trPr>
          <w:trHeight w:val="300"/>
        </w:trPr>
        <w:tc>
          <w:tcPr>
            <w:tcW w:w="825" w:type="dxa"/>
            <w:tcBorders>
              <w:top w:val="nil"/>
              <w:left w:val="nil"/>
              <w:bottom w:val="nil"/>
              <w:right w:val="single" w:sz="4" w:space="0" w:color="auto"/>
            </w:tcBorders>
            <w:shd w:val="clear" w:color="auto" w:fill="D9D9D9" w:themeFill="background1" w:themeFillShade="D9"/>
          </w:tcPr>
          <w:p w14:paraId="3D5F9D69" w14:textId="44AD99B4" w:rsidR="00790356" w:rsidRPr="00790356" w:rsidRDefault="00790356" w:rsidP="00F34925">
            <w:pPr>
              <w:rPr>
                <w:rFonts w:ascii="Calibri" w:eastAsia="Times New Roman" w:hAnsi="Calibri" w:cs="Times New Roman"/>
                <w:color w:val="000000"/>
              </w:rPr>
            </w:pPr>
            <w:r>
              <w:rPr>
                <w:rFonts w:ascii="Calibri" w:eastAsia="Times New Roman" w:hAnsi="Calibri" w:cs="Times New Roman"/>
                <w:color w:val="000000"/>
              </w:rPr>
              <w:t>8</w:t>
            </w:r>
          </w:p>
        </w:tc>
        <w:tc>
          <w:tcPr>
            <w:tcW w:w="1440" w:type="dxa"/>
            <w:tcBorders>
              <w:top w:val="nil"/>
              <w:left w:val="single" w:sz="4" w:space="0" w:color="auto"/>
              <w:bottom w:val="nil"/>
              <w:right w:val="nil"/>
            </w:tcBorders>
            <w:shd w:val="clear" w:color="auto" w:fill="D6E3BC" w:themeFill="accent3" w:themeFillTint="66"/>
            <w:noWrap/>
            <w:hideMark/>
          </w:tcPr>
          <w:p w14:paraId="3CE747E0" w14:textId="2E60D15A" w:rsidR="00790356" w:rsidRPr="00790356" w:rsidRDefault="00F34925" w:rsidP="00F34925">
            <w:pPr>
              <w:rPr>
                <w:rFonts w:ascii="Calibri" w:eastAsia="Times New Roman" w:hAnsi="Calibri" w:cs="Times New Roman"/>
                <w:color w:val="000000"/>
              </w:rPr>
            </w:pPr>
            <w:r>
              <w:rPr>
                <w:rFonts w:ascii="Calibri" w:eastAsia="Times New Roman" w:hAnsi="Calibri" w:cs="Times New Roman"/>
                <w:color w:val="000000"/>
              </w:rPr>
              <w:t>USA</w:t>
            </w:r>
          </w:p>
        </w:tc>
        <w:tc>
          <w:tcPr>
            <w:tcW w:w="1080" w:type="dxa"/>
            <w:tcBorders>
              <w:top w:val="nil"/>
              <w:left w:val="nil"/>
              <w:bottom w:val="nil"/>
              <w:right w:val="single" w:sz="4" w:space="0" w:color="auto"/>
            </w:tcBorders>
            <w:shd w:val="clear" w:color="auto" w:fill="D6E3BC" w:themeFill="accent3" w:themeFillTint="66"/>
            <w:noWrap/>
            <w:hideMark/>
          </w:tcPr>
          <w:p w14:paraId="0FBD2AC1"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80.01</w:t>
            </w:r>
          </w:p>
        </w:tc>
        <w:tc>
          <w:tcPr>
            <w:tcW w:w="1411" w:type="dxa"/>
            <w:tcBorders>
              <w:top w:val="nil"/>
              <w:left w:val="single" w:sz="4" w:space="0" w:color="auto"/>
              <w:bottom w:val="nil"/>
              <w:right w:val="nil"/>
            </w:tcBorders>
            <w:shd w:val="clear" w:color="auto" w:fill="B6DDE8" w:themeFill="accent5" w:themeFillTint="66"/>
            <w:noWrap/>
            <w:hideMark/>
          </w:tcPr>
          <w:p w14:paraId="671DE170"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Austria</w:t>
            </w:r>
          </w:p>
        </w:tc>
        <w:tc>
          <w:tcPr>
            <w:tcW w:w="1350" w:type="dxa"/>
            <w:tcBorders>
              <w:top w:val="nil"/>
              <w:left w:val="nil"/>
              <w:bottom w:val="nil"/>
              <w:right w:val="nil"/>
            </w:tcBorders>
            <w:shd w:val="clear" w:color="auto" w:fill="B6DDE8" w:themeFill="accent5" w:themeFillTint="66"/>
            <w:noWrap/>
            <w:hideMark/>
          </w:tcPr>
          <w:p w14:paraId="005E6FCA"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79.26</w:t>
            </w:r>
          </w:p>
        </w:tc>
        <w:tc>
          <w:tcPr>
            <w:tcW w:w="1479" w:type="dxa"/>
            <w:tcBorders>
              <w:top w:val="nil"/>
              <w:left w:val="nil"/>
              <w:bottom w:val="nil"/>
              <w:right w:val="nil"/>
            </w:tcBorders>
            <w:shd w:val="clear" w:color="auto" w:fill="E5B8B7" w:themeFill="accent2" w:themeFillTint="66"/>
            <w:noWrap/>
            <w:hideMark/>
          </w:tcPr>
          <w:p w14:paraId="41F353A7"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Austria</w:t>
            </w:r>
          </w:p>
        </w:tc>
        <w:tc>
          <w:tcPr>
            <w:tcW w:w="1199" w:type="dxa"/>
            <w:tcBorders>
              <w:top w:val="nil"/>
              <w:left w:val="nil"/>
              <w:bottom w:val="nil"/>
              <w:right w:val="nil"/>
            </w:tcBorders>
            <w:shd w:val="clear" w:color="auto" w:fill="E5B8B7" w:themeFill="accent2" w:themeFillTint="66"/>
            <w:noWrap/>
            <w:hideMark/>
          </w:tcPr>
          <w:p w14:paraId="2EDCFB26"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79.70</w:t>
            </w:r>
          </w:p>
        </w:tc>
      </w:tr>
      <w:tr w:rsidR="00B01FE2" w:rsidRPr="00790356" w14:paraId="5775C1C6" w14:textId="77777777" w:rsidTr="00B01FE2">
        <w:trPr>
          <w:trHeight w:val="300"/>
        </w:trPr>
        <w:tc>
          <w:tcPr>
            <w:tcW w:w="825" w:type="dxa"/>
            <w:tcBorders>
              <w:top w:val="nil"/>
              <w:left w:val="nil"/>
              <w:bottom w:val="nil"/>
              <w:right w:val="single" w:sz="4" w:space="0" w:color="auto"/>
            </w:tcBorders>
            <w:shd w:val="clear" w:color="auto" w:fill="D9D9D9" w:themeFill="background1" w:themeFillShade="D9"/>
          </w:tcPr>
          <w:p w14:paraId="1DAAEFD7" w14:textId="52EE5C51" w:rsidR="00790356" w:rsidRPr="00790356" w:rsidRDefault="00790356" w:rsidP="00F34925">
            <w:pPr>
              <w:rPr>
                <w:rFonts w:ascii="Calibri" w:eastAsia="Times New Roman" w:hAnsi="Calibri" w:cs="Times New Roman"/>
                <w:color w:val="000000"/>
              </w:rPr>
            </w:pPr>
            <w:r>
              <w:rPr>
                <w:rFonts w:ascii="Calibri" w:eastAsia="Times New Roman" w:hAnsi="Calibri" w:cs="Times New Roman"/>
                <w:color w:val="000000"/>
              </w:rPr>
              <w:t>9</w:t>
            </w:r>
          </w:p>
        </w:tc>
        <w:tc>
          <w:tcPr>
            <w:tcW w:w="1440" w:type="dxa"/>
            <w:tcBorders>
              <w:top w:val="nil"/>
              <w:left w:val="single" w:sz="4" w:space="0" w:color="auto"/>
              <w:bottom w:val="nil"/>
              <w:right w:val="nil"/>
            </w:tcBorders>
            <w:shd w:val="clear" w:color="auto" w:fill="D6E3BC" w:themeFill="accent3" w:themeFillTint="66"/>
            <w:noWrap/>
            <w:hideMark/>
          </w:tcPr>
          <w:p w14:paraId="62AE1327" w14:textId="1826A594"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Germany</w:t>
            </w:r>
          </w:p>
        </w:tc>
        <w:tc>
          <w:tcPr>
            <w:tcW w:w="1080" w:type="dxa"/>
            <w:tcBorders>
              <w:top w:val="nil"/>
              <w:left w:val="nil"/>
              <w:bottom w:val="nil"/>
              <w:right w:val="single" w:sz="4" w:space="0" w:color="auto"/>
            </w:tcBorders>
            <w:shd w:val="clear" w:color="auto" w:fill="D6E3BC" w:themeFill="accent3" w:themeFillTint="66"/>
            <w:noWrap/>
            <w:hideMark/>
          </w:tcPr>
          <w:p w14:paraId="4B21AAB1"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79.98</w:t>
            </w:r>
          </w:p>
        </w:tc>
        <w:tc>
          <w:tcPr>
            <w:tcW w:w="1411" w:type="dxa"/>
            <w:tcBorders>
              <w:top w:val="nil"/>
              <w:left w:val="single" w:sz="4" w:space="0" w:color="auto"/>
              <w:bottom w:val="nil"/>
              <w:right w:val="nil"/>
            </w:tcBorders>
            <w:shd w:val="clear" w:color="auto" w:fill="B6DDE8" w:themeFill="accent5" w:themeFillTint="66"/>
            <w:noWrap/>
            <w:hideMark/>
          </w:tcPr>
          <w:p w14:paraId="659E14E0" w14:textId="006ED069" w:rsidR="00790356" w:rsidRPr="00790356" w:rsidRDefault="00F34925" w:rsidP="00F34925">
            <w:pPr>
              <w:rPr>
                <w:rFonts w:ascii="Calibri" w:eastAsia="Times New Roman" w:hAnsi="Calibri" w:cs="Times New Roman"/>
                <w:color w:val="000000"/>
              </w:rPr>
            </w:pPr>
            <w:r>
              <w:rPr>
                <w:rFonts w:ascii="Calibri" w:eastAsia="Times New Roman" w:hAnsi="Calibri" w:cs="Times New Roman"/>
                <w:color w:val="000000"/>
              </w:rPr>
              <w:t>UK</w:t>
            </w:r>
          </w:p>
        </w:tc>
        <w:tc>
          <w:tcPr>
            <w:tcW w:w="1350" w:type="dxa"/>
            <w:tcBorders>
              <w:top w:val="nil"/>
              <w:left w:val="nil"/>
              <w:bottom w:val="nil"/>
              <w:right w:val="nil"/>
            </w:tcBorders>
            <w:shd w:val="clear" w:color="auto" w:fill="B6DDE8" w:themeFill="accent5" w:themeFillTint="66"/>
            <w:noWrap/>
            <w:hideMark/>
          </w:tcPr>
          <w:p w14:paraId="7C93C7A3"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78.85</w:t>
            </w:r>
          </w:p>
        </w:tc>
        <w:tc>
          <w:tcPr>
            <w:tcW w:w="1479" w:type="dxa"/>
            <w:tcBorders>
              <w:top w:val="nil"/>
              <w:left w:val="nil"/>
              <w:bottom w:val="nil"/>
              <w:right w:val="nil"/>
            </w:tcBorders>
            <w:shd w:val="clear" w:color="auto" w:fill="E5B8B7" w:themeFill="accent2" w:themeFillTint="66"/>
            <w:noWrap/>
            <w:hideMark/>
          </w:tcPr>
          <w:p w14:paraId="4C5EB87E" w14:textId="02D21075" w:rsidR="00790356" w:rsidRPr="00790356" w:rsidRDefault="00F34925" w:rsidP="00F34925">
            <w:pPr>
              <w:rPr>
                <w:rFonts w:ascii="Calibri" w:eastAsia="Times New Roman" w:hAnsi="Calibri" w:cs="Times New Roman"/>
                <w:color w:val="000000"/>
              </w:rPr>
            </w:pPr>
            <w:r>
              <w:rPr>
                <w:rFonts w:ascii="Calibri" w:eastAsia="Times New Roman" w:hAnsi="Calibri" w:cs="Times New Roman"/>
                <w:color w:val="000000"/>
              </w:rPr>
              <w:t>UK</w:t>
            </w:r>
          </w:p>
        </w:tc>
        <w:tc>
          <w:tcPr>
            <w:tcW w:w="1199" w:type="dxa"/>
            <w:tcBorders>
              <w:top w:val="nil"/>
              <w:left w:val="nil"/>
              <w:bottom w:val="nil"/>
              <w:right w:val="nil"/>
            </w:tcBorders>
            <w:shd w:val="clear" w:color="auto" w:fill="E5B8B7" w:themeFill="accent2" w:themeFillTint="66"/>
            <w:noWrap/>
            <w:hideMark/>
          </w:tcPr>
          <w:p w14:paraId="68D89269"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78.92</w:t>
            </w:r>
          </w:p>
        </w:tc>
      </w:tr>
      <w:tr w:rsidR="00B01FE2" w:rsidRPr="00790356" w14:paraId="461F8954" w14:textId="77777777" w:rsidTr="00B01FE2">
        <w:trPr>
          <w:trHeight w:val="300"/>
        </w:trPr>
        <w:tc>
          <w:tcPr>
            <w:tcW w:w="825" w:type="dxa"/>
            <w:tcBorders>
              <w:top w:val="nil"/>
              <w:left w:val="nil"/>
              <w:bottom w:val="nil"/>
              <w:right w:val="single" w:sz="4" w:space="0" w:color="auto"/>
            </w:tcBorders>
            <w:shd w:val="clear" w:color="auto" w:fill="D9D9D9" w:themeFill="background1" w:themeFillShade="D9"/>
          </w:tcPr>
          <w:p w14:paraId="7712C85D" w14:textId="1D5865AC" w:rsidR="00790356" w:rsidRPr="00790356" w:rsidRDefault="00790356" w:rsidP="00F34925">
            <w:pPr>
              <w:rPr>
                <w:rFonts w:ascii="Calibri" w:eastAsia="Times New Roman" w:hAnsi="Calibri" w:cs="Times New Roman"/>
                <w:color w:val="000000"/>
              </w:rPr>
            </w:pPr>
            <w:r>
              <w:rPr>
                <w:rFonts w:ascii="Calibri" w:eastAsia="Times New Roman" w:hAnsi="Calibri" w:cs="Times New Roman"/>
                <w:color w:val="000000"/>
              </w:rPr>
              <w:t>10</w:t>
            </w:r>
          </w:p>
        </w:tc>
        <w:tc>
          <w:tcPr>
            <w:tcW w:w="1440" w:type="dxa"/>
            <w:tcBorders>
              <w:top w:val="nil"/>
              <w:left w:val="single" w:sz="4" w:space="0" w:color="auto"/>
              <w:bottom w:val="nil"/>
              <w:right w:val="nil"/>
            </w:tcBorders>
            <w:shd w:val="clear" w:color="auto" w:fill="D6E3BC" w:themeFill="accent3" w:themeFillTint="66"/>
            <w:noWrap/>
            <w:hideMark/>
          </w:tcPr>
          <w:p w14:paraId="5B97BDE4" w14:textId="59308CC3" w:rsidR="00790356" w:rsidRPr="00790356" w:rsidRDefault="00F34925" w:rsidP="00F34925">
            <w:pPr>
              <w:rPr>
                <w:rFonts w:ascii="Calibri" w:eastAsia="Times New Roman" w:hAnsi="Calibri" w:cs="Times New Roman"/>
                <w:color w:val="000000"/>
              </w:rPr>
            </w:pPr>
            <w:r>
              <w:rPr>
                <w:rFonts w:ascii="Calibri" w:eastAsia="Times New Roman" w:hAnsi="Calibri" w:cs="Times New Roman"/>
                <w:color w:val="000000"/>
              </w:rPr>
              <w:t>UK</w:t>
            </w:r>
          </w:p>
        </w:tc>
        <w:tc>
          <w:tcPr>
            <w:tcW w:w="1080" w:type="dxa"/>
            <w:tcBorders>
              <w:top w:val="nil"/>
              <w:left w:val="nil"/>
              <w:bottom w:val="nil"/>
              <w:right w:val="single" w:sz="4" w:space="0" w:color="auto"/>
            </w:tcBorders>
            <w:shd w:val="clear" w:color="auto" w:fill="D6E3BC" w:themeFill="accent3" w:themeFillTint="66"/>
            <w:noWrap/>
            <w:hideMark/>
          </w:tcPr>
          <w:p w14:paraId="675CC26C"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79.96</w:t>
            </w:r>
          </w:p>
        </w:tc>
        <w:tc>
          <w:tcPr>
            <w:tcW w:w="1411" w:type="dxa"/>
            <w:tcBorders>
              <w:top w:val="nil"/>
              <w:left w:val="single" w:sz="4" w:space="0" w:color="auto"/>
              <w:bottom w:val="nil"/>
              <w:right w:val="nil"/>
            </w:tcBorders>
            <w:shd w:val="clear" w:color="auto" w:fill="B6DDE8" w:themeFill="accent5" w:themeFillTint="66"/>
            <w:noWrap/>
            <w:hideMark/>
          </w:tcPr>
          <w:p w14:paraId="6C9B86F8"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Sweden</w:t>
            </w:r>
          </w:p>
        </w:tc>
        <w:tc>
          <w:tcPr>
            <w:tcW w:w="1350" w:type="dxa"/>
            <w:tcBorders>
              <w:top w:val="nil"/>
              <w:left w:val="nil"/>
              <w:bottom w:val="nil"/>
              <w:right w:val="nil"/>
            </w:tcBorders>
            <w:shd w:val="clear" w:color="auto" w:fill="B6DDE8" w:themeFill="accent5" w:themeFillTint="66"/>
            <w:noWrap/>
            <w:hideMark/>
          </w:tcPr>
          <w:p w14:paraId="2595BADA"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77.65</w:t>
            </w:r>
          </w:p>
        </w:tc>
        <w:tc>
          <w:tcPr>
            <w:tcW w:w="1479" w:type="dxa"/>
            <w:tcBorders>
              <w:top w:val="nil"/>
              <w:left w:val="nil"/>
              <w:bottom w:val="nil"/>
              <w:right w:val="nil"/>
            </w:tcBorders>
            <w:shd w:val="clear" w:color="auto" w:fill="E5B8B7" w:themeFill="accent2" w:themeFillTint="66"/>
            <w:noWrap/>
            <w:hideMark/>
          </w:tcPr>
          <w:p w14:paraId="7C2E0041"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Sweden</w:t>
            </w:r>
          </w:p>
        </w:tc>
        <w:tc>
          <w:tcPr>
            <w:tcW w:w="1199" w:type="dxa"/>
            <w:tcBorders>
              <w:top w:val="nil"/>
              <w:left w:val="nil"/>
              <w:bottom w:val="nil"/>
              <w:right w:val="nil"/>
            </w:tcBorders>
            <w:shd w:val="clear" w:color="auto" w:fill="E5B8B7" w:themeFill="accent2" w:themeFillTint="66"/>
            <w:noWrap/>
            <w:hideMark/>
          </w:tcPr>
          <w:p w14:paraId="0BCCAD43"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78.05</w:t>
            </w:r>
          </w:p>
        </w:tc>
      </w:tr>
      <w:tr w:rsidR="00B01FE2" w:rsidRPr="00790356" w14:paraId="748C7564" w14:textId="77777777" w:rsidTr="00B01FE2">
        <w:trPr>
          <w:trHeight w:val="300"/>
        </w:trPr>
        <w:tc>
          <w:tcPr>
            <w:tcW w:w="825" w:type="dxa"/>
            <w:tcBorders>
              <w:top w:val="nil"/>
              <w:left w:val="nil"/>
              <w:bottom w:val="nil"/>
              <w:right w:val="single" w:sz="4" w:space="0" w:color="auto"/>
            </w:tcBorders>
            <w:shd w:val="clear" w:color="auto" w:fill="D9D9D9" w:themeFill="background1" w:themeFillShade="D9"/>
          </w:tcPr>
          <w:p w14:paraId="044D3426" w14:textId="63412D95" w:rsidR="00790356" w:rsidRPr="00790356" w:rsidRDefault="00790356" w:rsidP="00F34925">
            <w:pPr>
              <w:rPr>
                <w:rFonts w:ascii="Calibri" w:eastAsia="Times New Roman" w:hAnsi="Calibri" w:cs="Times New Roman"/>
                <w:color w:val="000000"/>
              </w:rPr>
            </w:pPr>
            <w:r>
              <w:rPr>
                <w:rFonts w:ascii="Calibri" w:eastAsia="Times New Roman" w:hAnsi="Calibri" w:cs="Times New Roman"/>
                <w:color w:val="000000"/>
              </w:rPr>
              <w:t>11</w:t>
            </w:r>
          </w:p>
        </w:tc>
        <w:tc>
          <w:tcPr>
            <w:tcW w:w="1440" w:type="dxa"/>
            <w:tcBorders>
              <w:top w:val="nil"/>
              <w:left w:val="single" w:sz="4" w:space="0" w:color="auto"/>
              <w:bottom w:val="nil"/>
              <w:right w:val="nil"/>
            </w:tcBorders>
            <w:shd w:val="clear" w:color="auto" w:fill="D6E3BC" w:themeFill="accent3" w:themeFillTint="66"/>
            <w:noWrap/>
            <w:hideMark/>
          </w:tcPr>
          <w:p w14:paraId="42E438E0" w14:textId="269D86E8"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Sweden</w:t>
            </w:r>
          </w:p>
        </w:tc>
        <w:tc>
          <w:tcPr>
            <w:tcW w:w="1080" w:type="dxa"/>
            <w:tcBorders>
              <w:top w:val="nil"/>
              <w:left w:val="nil"/>
              <w:bottom w:val="nil"/>
              <w:right w:val="single" w:sz="4" w:space="0" w:color="auto"/>
            </w:tcBorders>
            <w:shd w:val="clear" w:color="auto" w:fill="D6E3BC" w:themeFill="accent3" w:themeFillTint="66"/>
            <w:noWrap/>
            <w:hideMark/>
          </w:tcPr>
          <w:p w14:paraId="4866CFA7"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79.75</w:t>
            </w:r>
          </w:p>
        </w:tc>
        <w:tc>
          <w:tcPr>
            <w:tcW w:w="1411" w:type="dxa"/>
            <w:tcBorders>
              <w:top w:val="nil"/>
              <w:left w:val="single" w:sz="4" w:space="0" w:color="auto"/>
              <w:bottom w:val="nil"/>
              <w:right w:val="nil"/>
            </w:tcBorders>
            <w:shd w:val="clear" w:color="auto" w:fill="B6DDE8" w:themeFill="accent5" w:themeFillTint="66"/>
            <w:noWrap/>
            <w:hideMark/>
          </w:tcPr>
          <w:p w14:paraId="2B391130"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Singapore</w:t>
            </w:r>
          </w:p>
        </w:tc>
        <w:tc>
          <w:tcPr>
            <w:tcW w:w="1350" w:type="dxa"/>
            <w:tcBorders>
              <w:top w:val="nil"/>
              <w:left w:val="nil"/>
              <w:bottom w:val="nil"/>
              <w:right w:val="nil"/>
            </w:tcBorders>
            <w:shd w:val="clear" w:color="auto" w:fill="B6DDE8" w:themeFill="accent5" w:themeFillTint="66"/>
            <w:noWrap/>
            <w:hideMark/>
          </w:tcPr>
          <w:p w14:paraId="475517E8"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77.51</w:t>
            </w:r>
          </w:p>
        </w:tc>
        <w:tc>
          <w:tcPr>
            <w:tcW w:w="1479" w:type="dxa"/>
            <w:tcBorders>
              <w:top w:val="nil"/>
              <w:left w:val="nil"/>
              <w:bottom w:val="nil"/>
              <w:right w:val="nil"/>
            </w:tcBorders>
            <w:shd w:val="clear" w:color="auto" w:fill="E5B8B7" w:themeFill="accent2" w:themeFillTint="66"/>
            <w:noWrap/>
            <w:hideMark/>
          </w:tcPr>
          <w:p w14:paraId="26830556"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Singapore</w:t>
            </w:r>
          </w:p>
        </w:tc>
        <w:tc>
          <w:tcPr>
            <w:tcW w:w="1199" w:type="dxa"/>
            <w:tcBorders>
              <w:top w:val="nil"/>
              <w:left w:val="nil"/>
              <w:bottom w:val="nil"/>
              <w:right w:val="nil"/>
            </w:tcBorders>
            <w:shd w:val="clear" w:color="auto" w:fill="E5B8B7" w:themeFill="accent2" w:themeFillTint="66"/>
            <w:noWrap/>
            <w:hideMark/>
          </w:tcPr>
          <w:p w14:paraId="0B7076DB"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77.74</w:t>
            </w:r>
          </w:p>
        </w:tc>
      </w:tr>
      <w:tr w:rsidR="00B01FE2" w:rsidRPr="00790356" w14:paraId="3E313F1A" w14:textId="77777777" w:rsidTr="00B01FE2">
        <w:trPr>
          <w:trHeight w:val="300"/>
        </w:trPr>
        <w:tc>
          <w:tcPr>
            <w:tcW w:w="825" w:type="dxa"/>
            <w:tcBorders>
              <w:top w:val="nil"/>
              <w:left w:val="nil"/>
              <w:bottom w:val="nil"/>
              <w:right w:val="single" w:sz="4" w:space="0" w:color="auto"/>
            </w:tcBorders>
            <w:shd w:val="clear" w:color="auto" w:fill="D9D9D9" w:themeFill="background1" w:themeFillShade="D9"/>
          </w:tcPr>
          <w:p w14:paraId="55D4D733" w14:textId="567E8C83" w:rsidR="00790356" w:rsidRPr="00790356" w:rsidRDefault="00790356" w:rsidP="00F34925">
            <w:pPr>
              <w:rPr>
                <w:rFonts w:ascii="Calibri" w:eastAsia="Times New Roman" w:hAnsi="Calibri" w:cs="Times New Roman"/>
                <w:color w:val="000000"/>
              </w:rPr>
            </w:pPr>
            <w:r>
              <w:rPr>
                <w:rFonts w:ascii="Calibri" w:eastAsia="Times New Roman" w:hAnsi="Calibri" w:cs="Times New Roman"/>
                <w:color w:val="000000"/>
              </w:rPr>
              <w:t>12</w:t>
            </w:r>
          </w:p>
        </w:tc>
        <w:tc>
          <w:tcPr>
            <w:tcW w:w="1440" w:type="dxa"/>
            <w:tcBorders>
              <w:top w:val="nil"/>
              <w:left w:val="single" w:sz="4" w:space="0" w:color="auto"/>
              <w:bottom w:val="nil"/>
              <w:right w:val="nil"/>
            </w:tcBorders>
            <w:shd w:val="clear" w:color="auto" w:fill="D6E3BC" w:themeFill="accent3" w:themeFillTint="66"/>
            <w:noWrap/>
            <w:hideMark/>
          </w:tcPr>
          <w:p w14:paraId="4B806242" w14:textId="39D72098"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Czech R</w:t>
            </w:r>
            <w:r w:rsidR="00F34925">
              <w:rPr>
                <w:rFonts w:ascii="Calibri" w:eastAsia="Times New Roman" w:hAnsi="Calibri" w:cs="Times New Roman"/>
                <w:color w:val="000000"/>
              </w:rPr>
              <w:t>.</w:t>
            </w:r>
          </w:p>
        </w:tc>
        <w:tc>
          <w:tcPr>
            <w:tcW w:w="1080" w:type="dxa"/>
            <w:tcBorders>
              <w:top w:val="nil"/>
              <w:left w:val="nil"/>
              <w:bottom w:val="nil"/>
              <w:right w:val="single" w:sz="4" w:space="0" w:color="auto"/>
            </w:tcBorders>
            <w:shd w:val="clear" w:color="auto" w:fill="D6E3BC" w:themeFill="accent3" w:themeFillTint="66"/>
            <w:noWrap/>
            <w:hideMark/>
          </w:tcPr>
          <w:p w14:paraId="17464B3B"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79.70</w:t>
            </w:r>
          </w:p>
        </w:tc>
        <w:tc>
          <w:tcPr>
            <w:tcW w:w="1411" w:type="dxa"/>
            <w:tcBorders>
              <w:top w:val="nil"/>
              <w:left w:val="single" w:sz="4" w:space="0" w:color="auto"/>
              <w:bottom w:val="nil"/>
              <w:right w:val="nil"/>
            </w:tcBorders>
            <w:shd w:val="clear" w:color="auto" w:fill="B6DDE8" w:themeFill="accent5" w:themeFillTint="66"/>
            <w:noWrap/>
            <w:hideMark/>
          </w:tcPr>
          <w:p w14:paraId="7EC0D452" w14:textId="09E04309" w:rsidR="00790356" w:rsidRPr="00790356" w:rsidRDefault="00F34925" w:rsidP="00F34925">
            <w:pPr>
              <w:rPr>
                <w:rFonts w:ascii="Calibri" w:eastAsia="Times New Roman" w:hAnsi="Calibri" w:cs="Times New Roman"/>
                <w:color w:val="000000"/>
              </w:rPr>
            </w:pPr>
            <w:r>
              <w:rPr>
                <w:rFonts w:ascii="Calibri" w:eastAsia="Times New Roman" w:hAnsi="Calibri" w:cs="Times New Roman"/>
                <w:color w:val="000000"/>
              </w:rPr>
              <w:t>USA</w:t>
            </w:r>
          </w:p>
        </w:tc>
        <w:tc>
          <w:tcPr>
            <w:tcW w:w="1350" w:type="dxa"/>
            <w:tcBorders>
              <w:top w:val="nil"/>
              <w:left w:val="nil"/>
              <w:bottom w:val="nil"/>
              <w:right w:val="nil"/>
            </w:tcBorders>
            <w:shd w:val="clear" w:color="auto" w:fill="B6DDE8" w:themeFill="accent5" w:themeFillTint="66"/>
            <w:noWrap/>
            <w:hideMark/>
          </w:tcPr>
          <w:p w14:paraId="469E4F57"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77.30</w:t>
            </w:r>
          </w:p>
        </w:tc>
        <w:tc>
          <w:tcPr>
            <w:tcW w:w="1479" w:type="dxa"/>
            <w:tcBorders>
              <w:top w:val="nil"/>
              <w:left w:val="nil"/>
              <w:bottom w:val="nil"/>
              <w:right w:val="nil"/>
            </w:tcBorders>
            <w:shd w:val="clear" w:color="auto" w:fill="E5B8B7" w:themeFill="accent2" w:themeFillTint="66"/>
            <w:noWrap/>
            <w:hideMark/>
          </w:tcPr>
          <w:p w14:paraId="425698B1"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Germany</w:t>
            </w:r>
          </w:p>
        </w:tc>
        <w:tc>
          <w:tcPr>
            <w:tcW w:w="1199" w:type="dxa"/>
            <w:tcBorders>
              <w:top w:val="nil"/>
              <w:left w:val="nil"/>
              <w:bottom w:val="nil"/>
              <w:right w:val="nil"/>
            </w:tcBorders>
            <w:shd w:val="clear" w:color="auto" w:fill="E5B8B7" w:themeFill="accent2" w:themeFillTint="66"/>
            <w:noWrap/>
            <w:hideMark/>
          </w:tcPr>
          <w:p w14:paraId="0F2CA136"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77.58</w:t>
            </w:r>
          </w:p>
        </w:tc>
      </w:tr>
      <w:tr w:rsidR="00B01FE2" w:rsidRPr="00790356" w14:paraId="52687EB9" w14:textId="77777777" w:rsidTr="00B01FE2">
        <w:trPr>
          <w:trHeight w:val="300"/>
        </w:trPr>
        <w:tc>
          <w:tcPr>
            <w:tcW w:w="825" w:type="dxa"/>
            <w:tcBorders>
              <w:top w:val="nil"/>
              <w:left w:val="nil"/>
              <w:bottom w:val="nil"/>
              <w:right w:val="single" w:sz="4" w:space="0" w:color="auto"/>
            </w:tcBorders>
            <w:shd w:val="clear" w:color="auto" w:fill="D9D9D9" w:themeFill="background1" w:themeFillShade="D9"/>
          </w:tcPr>
          <w:p w14:paraId="6F62B6ED" w14:textId="4FE16032" w:rsidR="00790356" w:rsidRPr="00790356" w:rsidRDefault="00790356" w:rsidP="00F34925">
            <w:pPr>
              <w:rPr>
                <w:rFonts w:ascii="Calibri" w:eastAsia="Times New Roman" w:hAnsi="Calibri" w:cs="Times New Roman"/>
                <w:color w:val="000000"/>
              </w:rPr>
            </w:pPr>
            <w:r>
              <w:rPr>
                <w:rFonts w:ascii="Calibri" w:eastAsia="Times New Roman" w:hAnsi="Calibri" w:cs="Times New Roman"/>
                <w:color w:val="000000"/>
              </w:rPr>
              <w:t>13</w:t>
            </w:r>
          </w:p>
        </w:tc>
        <w:tc>
          <w:tcPr>
            <w:tcW w:w="1440" w:type="dxa"/>
            <w:tcBorders>
              <w:top w:val="nil"/>
              <w:left w:val="single" w:sz="4" w:space="0" w:color="auto"/>
              <w:bottom w:val="nil"/>
              <w:right w:val="nil"/>
            </w:tcBorders>
            <w:shd w:val="clear" w:color="auto" w:fill="D6E3BC" w:themeFill="accent3" w:themeFillTint="66"/>
            <w:noWrap/>
            <w:hideMark/>
          </w:tcPr>
          <w:p w14:paraId="024EA1EA" w14:textId="6150AF52"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Austria</w:t>
            </w:r>
          </w:p>
        </w:tc>
        <w:tc>
          <w:tcPr>
            <w:tcW w:w="1080" w:type="dxa"/>
            <w:tcBorders>
              <w:top w:val="nil"/>
              <w:left w:val="nil"/>
              <w:bottom w:val="nil"/>
              <w:right w:val="single" w:sz="4" w:space="0" w:color="auto"/>
            </w:tcBorders>
            <w:shd w:val="clear" w:color="auto" w:fill="D6E3BC" w:themeFill="accent3" w:themeFillTint="66"/>
            <w:noWrap/>
            <w:hideMark/>
          </w:tcPr>
          <w:p w14:paraId="1DA63CD7"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79.54</w:t>
            </w:r>
          </w:p>
        </w:tc>
        <w:tc>
          <w:tcPr>
            <w:tcW w:w="1411" w:type="dxa"/>
            <w:tcBorders>
              <w:top w:val="nil"/>
              <w:left w:val="single" w:sz="4" w:space="0" w:color="auto"/>
              <w:bottom w:val="nil"/>
              <w:right w:val="nil"/>
            </w:tcBorders>
            <w:shd w:val="clear" w:color="auto" w:fill="B6DDE8" w:themeFill="accent5" w:themeFillTint="66"/>
            <w:noWrap/>
            <w:hideMark/>
          </w:tcPr>
          <w:p w14:paraId="0D78CBBE"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Germany</w:t>
            </w:r>
          </w:p>
        </w:tc>
        <w:tc>
          <w:tcPr>
            <w:tcW w:w="1350" w:type="dxa"/>
            <w:tcBorders>
              <w:top w:val="nil"/>
              <w:left w:val="nil"/>
              <w:bottom w:val="nil"/>
              <w:right w:val="nil"/>
            </w:tcBorders>
            <w:shd w:val="clear" w:color="auto" w:fill="B6DDE8" w:themeFill="accent5" w:themeFillTint="66"/>
            <w:noWrap/>
            <w:hideMark/>
          </w:tcPr>
          <w:p w14:paraId="6E2CF503"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77.15</w:t>
            </w:r>
          </w:p>
        </w:tc>
        <w:tc>
          <w:tcPr>
            <w:tcW w:w="1479" w:type="dxa"/>
            <w:tcBorders>
              <w:top w:val="nil"/>
              <w:left w:val="nil"/>
              <w:bottom w:val="nil"/>
              <w:right w:val="nil"/>
            </w:tcBorders>
            <w:shd w:val="clear" w:color="auto" w:fill="E5B8B7" w:themeFill="accent2" w:themeFillTint="66"/>
            <w:noWrap/>
            <w:hideMark/>
          </w:tcPr>
          <w:p w14:paraId="4DC06EBF" w14:textId="2CD69254" w:rsidR="00790356" w:rsidRPr="00790356" w:rsidRDefault="00F34925" w:rsidP="00F34925">
            <w:pPr>
              <w:rPr>
                <w:rFonts w:ascii="Calibri" w:eastAsia="Times New Roman" w:hAnsi="Calibri" w:cs="Times New Roman"/>
                <w:color w:val="000000"/>
              </w:rPr>
            </w:pPr>
            <w:r>
              <w:rPr>
                <w:rFonts w:ascii="Calibri" w:eastAsia="Times New Roman" w:hAnsi="Calibri" w:cs="Times New Roman"/>
                <w:color w:val="000000"/>
              </w:rPr>
              <w:t>USA</w:t>
            </w:r>
          </w:p>
        </w:tc>
        <w:tc>
          <w:tcPr>
            <w:tcW w:w="1199" w:type="dxa"/>
            <w:tcBorders>
              <w:top w:val="nil"/>
              <w:left w:val="nil"/>
              <w:bottom w:val="nil"/>
              <w:right w:val="nil"/>
            </w:tcBorders>
            <w:shd w:val="clear" w:color="auto" w:fill="E5B8B7" w:themeFill="accent2" w:themeFillTint="66"/>
            <w:noWrap/>
            <w:hideMark/>
          </w:tcPr>
          <w:p w14:paraId="6A657C90"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77.63</w:t>
            </w:r>
          </w:p>
        </w:tc>
      </w:tr>
      <w:tr w:rsidR="00B01FE2" w:rsidRPr="00790356" w14:paraId="0F706FEB" w14:textId="77777777" w:rsidTr="00B01FE2">
        <w:trPr>
          <w:trHeight w:val="300"/>
        </w:trPr>
        <w:tc>
          <w:tcPr>
            <w:tcW w:w="825" w:type="dxa"/>
            <w:tcBorders>
              <w:top w:val="nil"/>
              <w:left w:val="nil"/>
              <w:bottom w:val="nil"/>
              <w:right w:val="single" w:sz="4" w:space="0" w:color="auto"/>
            </w:tcBorders>
            <w:shd w:val="clear" w:color="auto" w:fill="D9D9D9" w:themeFill="background1" w:themeFillShade="D9"/>
          </w:tcPr>
          <w:p w14:paraId="4B6375FF" w14:textId="14343981" w:rsidR="00790356" w:rsidRPr="00790356" w:rsidRDefault="00790356" w:rsidP="00F34925">
            <w:pPr>
              <w:rPr>
                <w:rFonts w:ascii="Calibri" w:eastAsia="Times New Roman" w:hAnsi="Calibri" w:cs="Times New Roman"/>
                <w:color w:val="000000"/>
              </w:rPr>
            </w:pPr>
            <w:r>
              <w:rPr>
                <w:rFonts w:ascii="Calibri" w:eastAsia="Times New Roman" w:hAnsi="Calibri" w:cs="Times New Roman"/>
                <w:color w:val="000000"/>
              </w:rPr>
              <w:lastRenderedPageBreak/>
              <w:t>14</w:t>
            </w:r>
          </w:p>
        </w:tc>
        <w:tc>
          <w:tcPr>
            <w:tcW w:w="1440" w:type="dxa"/>
            <w:tcBorders>
              <w:top w:val="nil"/>
              <w:left w:val="single" w:sz="4" w:space="0" w:color="auto"/>
              <w:bottom w:val="nil"/>
              <w:right w:val="nil"/>
            </w:tcBorders>
            <w:shd w:val="clear" w:color="auto" w:fill="D6E3BC" w:themeFill="accent3" w:themeFillTint="66"/>
            <w:noWrap/>
            <w:hideMark/>
          </w:tcPr>
          <w:p w14:paraId="0DD253F4" w14:textId="39108FA5"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Netherlands</w:t>
            </w:r>
          </w:p>
        </w:tc>
        <w:tc>
          <w:tcPr>
            <w:tcW w:w="1080" w:type="dxa"/>
            <w:tcBorders>
              <w:top w:val="nil"/>
              <w:left w:val="nil"/>
              <w:bottom w:val="nil"/>
              <w:right w:val="single" w:sz="4" w:space="0" w:color="auto"/>
            </w:tcBorders>
            <w:shd w:val="clear" w:color="auto" w:fill="D6E3BC" w:themeFill="accent3" w:themeFillTint="66"/>
            <w:noWrap/>
            <w:hideMark/>
          </w:tcPr>
          <w:p w14:paraId="58EB7BD3"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79.21</w:t>
            </w:r>
          </w:p>
        </w:tc>
        <w:tc>
          <w:tcPr>
            <w:tcW w:w="1411" w:type="dxa"/>
            <w:tcBorders>
              <w:top w:val="nil"/>
              <w:left w:val="single" w:sz="4" w:space="0" w:color="auto"/>
              <w:bottom w:val="nil"/>
              <w:right w:val="nil"/>
            </w:tcBorders>
            <w:shd w:val="clear" w:color="auto" w:fill="B6DDE8" w:themeFill="accent5" w:themeFillTint="66"/>
            <w:noWrap/>
            <w:hideMark/>
          </w:tcPr>
          <w:p w14:paraId="5CFA32BB"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Chile</w:t>
            </w:r>
          </w:p>
        </w:tc>
        <w:tc>
          <w:tcPr>
            <w:tcW w:w="1350" w:type="dxa"/>
            <w:tcBorders>
              <w:top w:val="nil"/>
              <w:left w:val="nil"/>
              <w:bottom w:val="nil"/>
              <w:right w:val="nil"/>
            </w:tcBorders>
            <w:shd w:val="clear" w:color="auto" w:fill="B6DDE8" w:themeFill="accent5" w:themeFillTint="66"/>
            <w:noWrap/>
            <w:hideMark/>
          </w:tcPr>
          <w:p w14:paraId="05790B0D"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76.74</w:t>
            </w:r>
          </w:p>
        </w:tc>
        <w:tc>
          <w:tcPr>
            <w:tcW w:w="1479" w:type="dxa"/>
            <w:tcBorders>
              <w:top w:val="nil"/>
              <w:left w:val="nil"/>
              <w:bottom w:val="nil"/>
              <w:right w:val="nil"/>
            </w:tcBorders>
            <w:shd w:val="clear" w:color="auto" w:fill="E5B8B7" w:themeFill="accent2" w:themeFillTint="66"/>
            <w:noWrap/>
            <w:hideMark/>
          </w:tcPr>
          <w:p w14:paraId="0FA9A068"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Romania</w:t>
            </w:r>
          </w:p>
        </w:tc>
        <w:tc>
          <w:tcPr>
            <w:tcW w:w="1199" w:type="dxa"/>
            <w:tcBorders>
              <w:top w:val="nil"/>
              <w:left w:val="nil"/>
              <w:bottom w:val="nil"/>
              <w:right w:val="nil"/>
            </w:tcBorders>
            <w:shd w:val="clear" w:color="auto" w:fill="E5B8B7" w:themeFill="accent2" w:themeFillTint="66"/>
            <w:noWrap/>
            <w:hideMark/>
          </w:tcPr>
          <w:p w14:paraId="797B6F79"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77.20</w:t>
            </w:r>
          </w:p>
        </w:tc>
      </w:tr>
      <w:tr w:rsidR="00B01FE2" w:rsidRPr="00790356" w14:paraId="700F609A" w14:textId="77777777" w:rsidTr="00B01FE2">
        <w:trPr>
          <w:trHeight w:val="300"/>
        </w:trPr>
        <w:tc>
          <w:tcPr>
            <w:tcW w:w="825" w:type="dxa"/>
            <w:tcBorders>
              <w:top w:val="nil"/>
              <w:left w:val="nil"/>
              <w:bottom w:val="nil"/>
              <w:right w:val="single" w:sz="4" w:space="0" w:color="auto"/>
            </w:tcBorders>
            <w:shd w:val="clear" w:color="auto" w:fill="D9D9D9" w:themeFill="background1" w:themeFillShade="D9"/>
          </w:tcPr>
          <w:p w14:paraId="7B166065" w14:textId="328ECD73" w:rsidR="00790356" w:rsidRPr="00790356" w:rsidRDefault="00790356" w:rsidP="00F34925">
            <w:pPr>
              <w:rPr>
                <w:rFonts w:ascii="Calibri" w:eastAsia="Times New Roman" w:hAnsi="Calibri" w:cs="Times New Roman"/>
                <w:color w:val="000000"/>
              </w:rPr>
            </w:pPr>
            <w:r>
              <w:rPr>
                <w:rFonts w:ascii="Calibri" w:eastAsia="Times New Roman" w:hAnsi="Calibri" w:cs="Times New Roman"/>
                <w:color w:val="000000"/>
              </w:rPr>
              <w:t>15</w:t>
            </w:r>
          </w:p>
        </w:tc>
        <w:tc>
          <w:tcPr>
            <w:tcW w:w="1440" w:type="dxa"/>
            <w:tcBorders>
              <w:top w:val="nil"/>
              <w:left w:val="single" w:sz="4" w:space="0" w:color="auto"/>
              <w:bottom w:val="nil"/>
              <w:right w:val="nil"/>
            </w:tcBorders>
            <w:shd w:val="clear" w:color="auto" w:fill="D6E3BC" w:themeFill="accent3" w:themeFillTint="66"/>
            <w:noWrap/>
            <w:hideMark/>
          </w:tcPr>
          <w:p w14:paraId="678240B1" w14:textId="41B2954C"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Iceland</w:t>
            </w:r>
          </w:p>
        </w:tc>
        <w:tc>
          <w:tcPr>
            <w:tcW w:w="1080" w:type="dxa"/>
            <w:tcBorders>
              <w:top w:val="nil"/>
              <w:left w:val="nil"/>
              <w:bottom w:val="nil"/>
              <w:right w:val="single" w:sz="4" w:space="0" w:color="auto"/>
            </w:tcBorders>
            <w:shd w:val="clear" w:color="auto" w:fill="D6E3BC" w:themeFill="accent3" w:themeFillTint="66"/>
            <w:noWrap/>
            <w:hideMark/>
          </w:tcPr>
          <w:p w14:paraId="0AF8BA98"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78.72</w:t>
            </w:r>
          </w:p>
        </w:tc>
        <w:tc>
          <w:tcPr>
            <w:tcW w:w="1411" w:type="dxa"/>
            <w:tcBorders>
              <w:top w:val="nil"/>
              <w:left w:val="single" w:sz="4" w:space="0" w:color="auto"/>
              <w:bottom w:val="nil"/>
              <w:right w:val="nil"/>
            </w:tcBorders>
            <w:shd w:val="clear" w:color="auto" w:fill="B6DDE8" w:themeFill="accent5" w:themeFillTint="66"/>
            <w:noWrap/>
            <w:hideMark/>
          </w:tcPr>
          <w:p w14:paraId="031B091A" w14:textId="7E246202"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Czech R</w:t>
            </w:r>
            <w:r w:rsidR="00F34925">
              <w:rPr>
                <w:rFonts w:ascii="Calibri" w:eastAsia="Times New Roman" w:hAnsi="Calibri" w:cs="Times New Roman"/>
                <w:color w:val="000000"/>
              </w:rPr>
              <w:t>.</w:t>
            </w:r>
          </w:p>
        </w:tc>
        <w:tc>
          <w:tcPr>
            <w:tcW w:w="1350" w:type="dxa"/>
            <w:tcBorders>
              <w:top w:val="nil"/>
              <w:left w:val="nil"/>
              <w:bottom w:val="nil"/>
              <w:right w:val="nil"/>
            </w:tcBorders>
            <w:shd w:val="clear" w:color="auto" w:fill="B6DDE8" w:themeFill="accent5" w:themeFillTint="66"/>
            <w:noWrap/>
            <w:hideMark/>
          </w:tcPr>
          <w:p w14:paraId="3F38E08B"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76.73</w:t>
            </w:r>
          </w:p>
        </w:tc>
        <w:tc>
          <w:tcPr>
            <w:tcW w:w="1479" w:type="dxa"/>
            <w:tcBorders>
              <w:top w:val="nil"/>
              <w:left w:val="nil"/>
              <w:bottom w:val="nil"/>
              <w:right w:val="nil"/>
            </w:tcBorders>
            <w:shd w:val="clear" w:color="auto" w:fill="E5B8B7" w:themeFill="accent2" w:themeFillTint="66"/>
            <w:noWrap/>
            <w:hideMark/>
          </w:tcPr>
          <w:p w14:paraId="040B13E3" w14:textId="4CCC64D6"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Czech R</w:t>
            </w:r>
            <w:r w:rsidR="00F34925">
              <w:rPr>
                <w:rFonts w:ascii="Calibri" w:eastAsia="Times New Roman" w:hAnsi="Calibri" w:cs="Times New Roman"/>
                <w:color w:val="000000"/>
              </w:rPr>
              <w:t>.</w:t>
            </w:r>
          </w:p>
        </w:tc>
        <w:tc>
          <w:tcPr>
            <w:tcW w:w="1199" w:type="dxa"/>
            <w:tcBorders>
              <w:top w:val="nil"/>
              <w:left w:val="nil"/>
              <w:bottom w:val="nil"/>
              <w:right w:val="nil"/>
            </w:tcBorders>
            <w:shd w:val="clear" w:color="auto" w:fill="E5B8B7" w:themeFill="accent2" w:themeFillTint="66"/>
            <w:noWrap/>
            <w:hideMark/>
          </w:tcPr>
          <w:p w14:paraId="38069859"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77.36</w:t>
            </w:r>
          </w:p>
        </w:tc>
      </w:tr>
      <w:tr w:rsidR="00B01FE2" w:rsidRPr="00790356" w14:paraId="199056B1" w14:textId="77777777" w:rsidTr="00B01FE2">
        <w:trPr>
          <w:trHeight w:val="300"/>
        </w:trPr>
        <w:tc>
          <w:tcPr>
            <w:tcW w:w="825" w:type="dxa"/>
            <w:tcBorders>
              <w:top w:val="nil"/>
              <w:left w:val="nil"/>
              <w:bottom w:val="nil"/>
              <w:right w:val="single" w:sz="4" w:space="0" w:color="auto"/>
            </w:tcBorders>
            <w:shd w:val="clear" w:color="auto" w:fill="D9D9D9" w:themeFill="background1" w:themeFillShade="D9"/>
          </w:tcPr>
          <w:p w14:paraId="68135D52" w14:textId="2B6C8879" w:rsidR="00790356" w:rsidRPr="00790356" w:rsidRDefault="00790356" w:rsidP="00F34925">
            <w:pPr>
              <w:rPr>
                <w:rFonts w:ascii="Calibri" w:eastAsia="Times New Roman" w:hAnsi="Calibri" w:cs="Times New Roman"/>
                <w:color w:val="000000"/>
              </w:rPr>
            </w:pPr>
            <w:r>
              <w:rPr>
                <w:rFonts w:ascii="Calibri" w:eastAsia="Times New Roman" w:hAnsi="Calibri" w:cs="Times New Roman"/>
                <w:color w:val="000000"/>
              </w:rPr>
              <w:t>16</w:t>
            </w:r>
          </w:p>
        </w:tc>
        <w:tc>
          <w:tcPr>
            <w:tcW w:w="1440" w:type="dxa"/>
            <w:tcBorders>
              <w:top w:val="nil"/>
              <w:left w:val="single" w:sz="4" w:space="0" w:color="auto"/>
              <w:bottom w:val="nil"/>
              <w:right w:val="nil"/>
            </w:tcBorders>
            <w:shd w:val="clear" w:color="auto" w:fill="D6E3BC" w:themeFill="accent3" w:themeFillTint="66"/>
            <w:noWrap/>
            <w:hideMark/>
          </w:tcPr>
          <w:p w14:paraId="18F9DEB9" w14:textId="247CF01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France</w:t>
            </w:r>
          </w:p>
        </w:tc>
        <w:tc>
          <w:tcPr>
            <w:tcW w:w="1080" w:type="dxa"/>
            <w:tcBorders>
              <w:top w:val="nil"/>
              <w:left w:val="nil"/>
              <w:bottom w:val="nil"/>
              <w:right w:val="single" w:sz="4" w:space="0" w:color="auto"/>
            </w:tcBorders>
            <w:shd w:val="clear" w:color="auto" w:fill="D6E3BC" w:themeFill="accent3" w:themeFillTint="66"/>
            <w:noWrap/>
            <w:hideMark/>
          </w:tcPr>
          <w:p w14:paraId="44E20C8A"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78.71</w:t>
            </w:r>
          </w:p>
        </w:tc>
        <w:tc>
          <w:tcPr>
            <w:tcW w:w="1411" w:type="dxa"/>
            <w:tcBorders>
              <w:top w:val="nil"/>
              <w:left w:val="single" w:sz="4" w:space="0" w:color="auto"/>
              <w:bottom w:val="nil"/>
              <w:right w:val="nil"/>
            </w:tcBorders>
            <w:shd w:val="clear" w:color="auto" w:fill="B6DDE8" w:themeFill="accent5" w:themeFillTint="66"/>
            <w:noWrap/>
            <w:hideMark/>
          </w:tcPr>
          <w:p w14:paraId="2F07DFDA"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Slovakia</w:t>
            </w:r>
          </w:p>
        </w:tc>
        <w:tc>
          <w:tcPr>
            <w:tcW w:w="1350" w:type="dxa"/>
            <w:tcBorders>
              <w:top w:val="nil"/>
              <w:left w:val="nil"/>
              <w:bottom w:val="nil"/>
              <w:right w:val="nil"/>
            </w:tcBorders>
            <w:shd w:val="clear" w:color="auto" w:fill="B6DDE8" w:themeFill="accent5" w:themeFillTint="66"/>
            <w:noWrap/>
            <w:hideMark/>
          </w:tcPr>
          <w:p w14:paraId="5C23803E"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76.46</w:t>
            </w:r>
          </w:p>
        </w:tc>
        <w:tc>
          <w:tcPr>
            <w:tcW w:w="1479" w:type="dxa"/>
            <w:tcBorders>
              <w:top w:val="nil"/>
              <w:left w:val="nil"/>
              <w:bottom w:val="nil"/>
              <w:right w:val="nil"/>
            </w:tcBorders>
            <w:shd w:val="clear" w:color="auto" w:fill="E5B8B7" w:themeFill="accent2" w:themeFillTint="66"/>
            <w:noWrap/>
            <w:hideMark/>
          </w:tcPr>
          <w:p w14:paraId="58FBA064"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Slovakia</w:t>
            </w:r>
          </w:p>
        </w:tc>
        <w:tc>
          <w:tcPr>
            <w:tcW w:w="1199" w:type="dxa"/>
            <w:tcBorders>
              <w:top w:val="nil"/>
              <w:left w:val="nil"/>
              <w:bottom w:val="nil"/>
              <w:right w:val="nil"/>
            </w:tcBorders>
            <w:shd w:val="clear" w:color="auto" w:fill="E5B8B7" w:themeFill="accent2" w:themeFillTint="66"/>
            <w:noWrap/>
            <w:hideMark/>
          </w:tcPr>
          <w:p w14:paraId="4844FC50"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77.26</w:t>
            </w:r>
          </w:p>
        </w:tc>
      </w:tr>
      <w:tr w:rsidR="00B01FE2" w:rsidRPr="00790356" w14:paraId="28D278E4" w14:textId="77777777" w:rsidTr="00B01FE2">
        <w:trPr>
          <w:trHeight w:val="300"/>
        </w:trPr>
        <w:tc>
          <w:tcPr>
            <w:tcW w:w="825" w:type="dxa"/>
            <w:tcBorders>
              <w:top w:val="nil"/>
              <w:left w:val="nil"/>
              <w:bottom w:val="nil"/>
              <w:right w:val="single" w:sz="4" w:space="0" w:color="auto"/>
            </w:tcBorders>
            <w:shd w:val="clear" w:color="auto" w:fill="D9D9D9" w:themeFill="background1" w:themeFillShade="D9"/>
          </w:tcPr>
          <w:p w14:paraId="19CD8F2E" w14:textId="7DBC5FAC" w:rsidR="00790356" w:rsidRPr="00790356" w:rsidRDefault="00790356" w:rsidP="00F34925">
            <w:pPr>
              <w:rPr>
                <w:rFonts w:ascii="Calibri" w:eastAsia="Times New Roman" w:hAnsi="Calibri" w:cs="Times New Roman"/>
                <w:color w:val="000000"/>
              </w:rPr>
            </w:pPr>
            <w:r>
              <w:rPr>
                <w:rFonts w:ascii="Calibri" w:eastAsia="Times New Roman" w:hAnsi="Calibri" w:cs="Times New Roman"/>
                <w:color w:val="000000"/>
              </w:rPr>
              <w:t>17</w:t>
            </w:r>
          </w:p>
        </w:tc>
        <w:tc>
          <w:tcPr>
            <w:tcW w:w="1440" w:type="dxa"/>
            <w:tcBorders>
              <w:top w:val="nil"/>
              <w:left w:val="single" w:sz="4" w:space="0" w:color="auto"/>
              <w:bottom w:val="nil"/>
              <w:right w:val="nil"/>
            </w:tcBorders>
            <w:shd w:val="clear" w:color="auto" w:fill="D6E3BC" w:themeFill="accent3" w:themeFillTint="66"/>
            <w:noWrap/>
            <w:hideMark/>
          </w:tcPr>
          <w:p w14:paraId="515A7EAB" w14:textId="49F0111E"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Luxembourg</w:t>
            </w:r>
          </w:p>
        </w:tc>
        <w:tc>
          <w:tcPr>
            <w:tcW w:w="1080" w:type="dxa"/>
            <w:tcBorders>
              <w:top w:val="nil"/>
              <w:left w:val="nil"/>
              <w:bottom w:val="nil"/>
              <w:right w:val="single" w:sz="4" w:space="0" w:color="auto"/>
            </w:tcBorders>
            <w:shd w:val="clear" w:color="auto" w:fill="D6E3BC" w:themeFill="accent3" w:themeFillTint="66"/>
            <w:noWrap/>
            <w:hideMark/>
          </w:tcPr>
          <w:p w14:paraId="17BA5312"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78.53</w:t>
            </w:r>
          </w:p>
        </w:tc>
        <w:tc>
          <w:tcPr>
            <w:tcW w:w="1411" w:type="dxa"/>
            <w:tcBorders>
              <w:top w:val="nil"/>
              <w:left w:val="single" w:sz="4" w:space="0" w:color="auto"/>
              <w:bottom w:val="nil"/>
              <w:right w:val="nil"/>
            </w:tcBorders>
            <w:shd w:val="clear" w:color="auto" w:fill="B6DDE8" w:themeFill="accent5" w:themeFillTint="66"/>
            <w:noWrap/>
            <w:hideMark/>
          </w:tcPr>
          <w:p w14:paraId="6211910F"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France</w:t>
            </w:r>
          </w:p>
        </w:tc>
        <w:tc>
          <w:tcPr>
            <w:tcW w:w="1350" w:type="dxa"/>
            <w:tcBorders>
              <w:top w:val="nil"/>
              <w:left w:val="nil"/>
              <w:bottom w:val="nil"/>
              <w:right w:val="nil"/>
            </w:tcBorders>
            <w:shd w:val="clear" w:color="auto" w:fill="B6DDE8" w:themeFill="accent5" w:themeFillTint="66"/>
            <w:noWrap/>
            <w:hideMark/>
          </w:tcPr>
          <w:p w14:paraId="56F6DD24"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76.31</w:t>
            </w:r>
          </w:p>
        </w:tc>
        <w:tc>
          <w:tcPr>
            <w:tcW w:w="1479" w:type="dxa"/>
            <w:tcBorders>
              <w:top w:val="nil"/>
              <w:left w:val="nil"/>
              <w:bottom w:val="nil"/>
              <w:right w:val="nil"/>
            </w:tcBorders>
            <w:shd w:val="clear" w:color="auto" w:fill="E5B8B7" w:themeFill="accent2" w:themeFillTint="66"/>
            <w:noWrap/>
            <w:hideMark/>
          </w:tcPr>
          <w:p w14:paraId="578E8F1C"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Chile</w:t>
            </w:r>
          </w:p>
        </w:tc>
        <w:tc>
          <w:tcPr>
            <w:tcW w:w="1199" w:type="dxa"/>
            <w:tcBorders>
              <w:top w:val="nil"/>
              <w:left w:val="nil"/>
              <w:bottom w:val="nil"/>
              <w:right w:val="nil"/>
            </w:tcBorders>
            <w:shd w:val="clear" w:color="auto" w:fill="E5B8B7" w:themeFill="accent2" w:themeFillTint="66"/>
            <w:noWrap/>
            <w:hideMark/>
          </w:tcPr>
          <w:p w14:paraId="131507A1"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76.53</w:t>
            </w:r>
          </w:p>
        </w:tc>
      </w:tr>
      <w:tr w:rsidR="00B01FE2" w:rsidRPr="00790356" w14:paraId="22C88878" w14:textId="77777777" w:rsidTr="00B01FE2">
        <w:trPr>
          <w:trHeight w:val="300"/>
        </w:trPr>
        <w:tc>
          <w:tcPr>
            <w:tcW w:w="825" w:type="dxa"/>
            <w:tcBorders>
              <w:top w:val="nil"/>
              <w:left w:val="nil"/>
              <w:bottom w:val="nil"/>
              <w:right w:val="single" w:sz="4" w:space="0" w:color="auto"/>
            </w:tcBorders>
            <w:shd w:val="clear" w:color="auto" w:fill="D9D9D9" w:themeFill="background1" w:themeFillShade="D9"/>
          </w:tcPr>
          <w:p w14:paraId="139A357F" w14:textId="3EAF41E5" w:rsidR="00790356" w:rsidRPr="00790356" w:rsidRDefault="00790356" w:rsidP="00F34925">
            <w:pPr>
              <w:rPr>
                <w:rFonts w:ascii="Calibri" w:eastAsia="Times New Roman" w:hAnsi="Calibri" w:cs="Times New Roman"/>
                <w:color w:val="000000"/>
              </w:rPr>
            </w:pPr>
            <w:r>
              <w:rPr>
                <w:rFonts w:ascii="Calibri" w:eastAsia="Times New Roman" w:hAnsi="Calibri" w:cs="Times New Roman"/>
                <w:color w:val="000000"/>
              </w:rPr>
              <w:t>18</w:t>
            </w:r>
          </w:p>
        </w:tc>
        <w:tc>
          <w:tcPr>
            <w:tcW w:w="1440" w:type="dxa"/>
            <w:tcBorders>
              <w:top w:val="nil"/>
              <w:left w:val="single" w:sz="4" w:space="0" w:color="auto"/>
              <w:bottom w:val="nil"/>
              <w:right w:val="nil"/>
            </w:tcBorders>
            <w:shd w:val="clear" w:color="auto" w:fill="D6E3BC" w:themeFill="accent3" w:themeFillTint="66"/>
            <w:noWrap/>
            <w:hideMark/>
          </w:tcPr>
          <w:p w14:paraId="2D748EA8" w14:textId="7DFAA509"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Poland</w:t>
            </w:r>
          </w:p>
        </w:tc>
        <w:tc>
          <w:tcPr>
            <w:tcW w:w="1080" w:type="dxa"/>
            <w:tcBorders>
              <w:top w:val="nil"/>
              <w:left w:val="nil"/>
              <w:bottom w:val="nil"/>
              <w:right w:val="single" w:sz="4" w:space="0" w:color="auto"/>
            </w:tcBorders>
            <w:shd w:val="clear" w:color="auto" w:fill="D6E3BC" w:themeFill="accent3" w:themeFillTint="66"/>
            <w:noWrap/>
            <w:hideMark/>
          </w:tcPr>
          <w:p w14:paraId="6B9195F9"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78.23</w:t>
            </w:r>
          </w:p>
        </w:tc>
        <w:tc>
          <w:tcPr>
            <w:tcW w:w="1411" w:type="dxa"/>
            <w:tcBorders>
              <w:top w:val="nil"/>
              <w:left w:val="single" w:sz="4" w:space="0" w:color="auto"/>
              <w:bottom w:val="nil"/>
              <w:right w:val="nil"/>
            </w:tcBorders>
            <w:shd w:val="clear" w:color="auto" w:fill="B6DDE8" w:themeFill="accent5" w:themeFillTint="66"/>
            <w:noWrap/>
            <w:hideMark/>
          </w:tcPr>
          <w:p w14:paraId="4B337495"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Iceland</w:t>
            </w:r>
          </w:p>
        </w:tc>
        <w:tc>
          <w:tcPr>
            <w:tcW w:w="1350" w:type="dxa"/>
            <w:tcBorders>
              <w:top w:val="nil"/>
              <w:left w:val="nil"/>
              <w:bottom w:val="nil"/>
              <w:right w:val="nil"/>
            </w:tcBorders>
            <w:shd w:val="clear" w:color="auto" w:fill="B6DDE8" w:themeFill="accent5" w:themeFillTint="66"/>
            <w:noWrap/>
            <w:hideMark/>
          </w:tcPr>
          <w:p w14:paraId="100C4D2D"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76.10</w:t>
            </w:r>
          </w:p>
        </w:tc>
        <w:tc>
          <w:tcPr>
            <w:tcW w:w="1479" w:type="dxa"/>
            <w:tcBorders>
              <w:top w:val="nil"/>
              <w:left w:val="nil"/>
              <w:bottom w:val="nil"/>
              <w:right w:val="nil"/>
            </w:tcBorders>
            <w:shd w:val="clear" w:color="auto" w:fill="E5B8B7" w:themeFill="accent2" w:themeFillTint="66"/>
            <w:noWrap/>
            <w:hideMark/>
          </w:tcPr>
          <w:p w14:paraId="42F9710B"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Slovenia</w:t>
            </w:r>
          </w:p>
        </w:tc>
        <w:tc>
          <w:tcPr>
            <w:tcW w:w="1199" w:type="dxa"/>
            <w:tcBorders>
              <w:top w:val="nil"/>
              <w:left w:val="nil"/>
              <w:bottom w:val="nil"/>
              <w:right w:val="nil"/>
            </w:tcBorders>
            <w:shd w:val="clear" w:color="auto" w:fill="E5B8B7" w:themeFill="accent2" w:themeFillTint="66"/>
            <w:noWrap/>
            <w:hideMark/>
          </w:tcPr>
          <w:p w14:paraId="76728796"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76.18</w:t>
            </w:r>
          </w:p>
        </w:tc>
      </w:tr>
      <w:tr w:rsidR="00B01FE2" w:rsidRPr="00790356" w14:paraId="3E6D3F69" w14:textId="77777777" w:rsidTr="00B01FE2">
        <w:trPr>
          <w:trHeight w:val="300"/>
        </w:trPr>
        <w:tc>
          <w:tcPr>
            <w:tcW w:w="825" w:type="dxa"/>
            <w:tcBorders>
              <w:top w:val="nil"/>
              <w:left w:val="nil"/>
              <w:bottom w:val="nil"/>
              <w:right w:val="single" w:sz="4" w:space="0" w:color="auto"/>
            </w:tcBorders>
            <w:shd w:val="clear" w:color="auto" w:fill="D9D9D9" w:themeFill="background1" w:themeFillShade="D9"/>
          </w:tcPr>
          <w:p w14:paraId="733A695C" w14:textId="647FC422" w:rsidR="00790356" w:rsidRPr="00790356" w:rsidRDefault="00790356" w:rsidP="00F34925">
            <w:pPr>
              <w:rPr>
                <w:rFonts w:ascii="Calibri" w:eastAsia="Times New Roman" w:hAnsi="Calibri" w:cs="Times New Roman"/>
                <w:color w:val="000000"/>
              </w:rPr>
            </w:pPr>
            <w:r>
              <w:rPr>
                <w:rFonts w:ascii="Calibri" w:eastAsia="Times New Roman" w:hAnsi="Calibri" w:cs="Times New Roman"/>
                <w:color w:val="000000"/>
              </w:rPr>
              <w:t>19</w:t>
            </w:r>
          </w:p>
        </w:tc>
        <w:tc>
          <w:tcPr>
            <w:tcW w:w="1440" w:type="dxa"/>
            <w:tcBorders>
              <w:top w:val="nil"/>
              <w:left w:val="single" w:sz="4" w:space="0" w:color="auto"/>
              <w:bottom w:val="nil"/>
              <w:right w:val="nil"/>
            </w:tcBorders>
            <w:shd w:val="clear" w:color="auto" w:fill="D6E3BC" w:themeFill="accent3" w:themeFillTint="66"/>
            <w:noWrap/>
            <w:hideMark/>
          </w:tcPr>
          <w:p w14:paraId="02282A8E" w14:textId="1E02F9EB"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Canada</w:t>
            </w:r>
          </w:p>
        </w:tc>
        <w:tc>
          <w:tcPr>
            <w:tcW w:w="1080" w:type="dxa"/>
            <w:tcBorders>
              <w:top w:val="nil"/>
              <w:left w:val="nil"/>
              <w:bottom w:val="nil"/>
              <w:right w:val="single" w:sz="4" w:space="0" w:color="auto"/>
            </w:tcBorders>
            <w:shd w:val="clear" w:color="auto" w:fill="D6E3BC" w:themeFill="accent3" w:themeFillTint="66"/>
            <w:noWrap/>
            <w:hideMark/>
          </w:tcPr>
          <w:p w14:paraId="59F53D96"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78.15</w:t>
            </w:r>
          </w:p>
        </w:tc>
        <w:tc>
          <w:tcPr>
            <w:tcW w:w="1411" w:type="dxa"/>
            <w:tcBorders>
              <w:top w:val="nil"/>
              <w:left w:val="single" w:sz="4" w:space="0" w:color="auto"/>
              <w:bottom w:val="nil"/>
              <w:right w:val="nil"/>
            </w:tcBorders>
            <w:shd w:val="clear" w:color="auto" w:fill="B6DDE8" w:themeFill="accent5" w:themeFillTint="66"/>
            <w:noWrap/>
            <w:hideMark/>
          </w:tcPr>
          <w:p w14:paraId="30487F95"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Canada</w:t>
            </w:r>
          </w:p>
        </w:tc>
        <w:tc>
          <w:tcPr>
            <w:tcW w:w="1350" w:type="dxa"/>
            <w:tcBorders>
              <w:top w:val="nil"/>
              <w:left w:val="nil"/>
              <w:bottom w:val="nil"/>
              <w:right w:val="nil"/>
            </w:tcBorders>
            <w:shd w:val="clear" w:color="auto" w:fill="B6DDE8" w:themeFill="accent5" w:themeFillTint="66"/>
            <w:noWrap/>
            <w:hideMark/>
          </w:tcPr>
          <w:p w14:paraId="68534AAC"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75.91</w:t>
            </w:r>
          </w:p>
        </w:tc>
        <w:tc>
          <w:tcPr>
            <w:tcW w:w="1479" w:type="dxa"/>
            <w:tcBorders>
              <w:top w:val="nil"/>
              <w:left w:val="nil"/>
              <w:bottom w:val="nil"/>
              <w:right w:val="nil"/>
            </w:tcBorders>
            <w:shd w:val="clear" w:color="auto" w:fill="E5B8B7" w:themeFill="accent2" w:themeFillTint="66"/>
            <w:noWrap/>
            <w:hideMark/>
          </w:tcPr>
          <w:p w14:paraId="5E6496A1"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France</w:t>
            </w:r>
          </w:p>
        </w:tc>
        <w:tc>
          <w:tcPr>
            <w:tcW w:w="1199" w:type="dxa"/>
            <w:tcBorders>
              <w:top w:val="nil"/>
              <w:left w:val="nil"/>
              <w:bottom w:val="nil"/>
              <w:right w:val="nil"/>
            </w:tcBorders>
            <w:shd w:val="clear" w:color="auto" w:fill="E5B8B7" w:themeFill="accent2" w:themeFillTint="66"/>
            <w:noWrap/>
            <w:hideMark/>
          </w:tcPr>
          <w:p w14:paraId="53F378C7"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76.16</w:t>
            </w:r>
          </w:p>
        </w:tc>
      </w:tr>
      <w:tr w:rsidR="00B01FE2" w:rsidRPr="00790356" w14:paraId="344DDAF9" w14:textId="77777777" w:rsidTr="00B01FE2">
        <w:trPr>
          <w:trHeight w:val="300"/>
        </w:trPr>
        <w:tc>
          <w:tcPr>
            <w:tcW w:w="825" w:type="dxa"/>
            <w:tcBorders>
              <w:top w:val="nil"/>
              <w:left w:val="nil"/>
              <w:bottom w:val="nil"/>
              <w:right w:val="single" w:sz="4" w:space="0" w:color="auto"/>
            </w:tcBorders>
            <w:shd w:val="clear" w:color="auto" w:fill="D9D9D9" w:themeFill="background1" w:themeFillShade="D9"/>
          </w:tcPr>
          <w:p w14:paraId="5C428B71" w14:textId="1494334E" w:rsidR="00790356" w:rsidRPr="00790356" w:rsidRDefault="00790356" w:rsidP="00F34925">
            <w:pPr>
              <w:rPr>
                <w:rFonts w:ascii="Calibri" w:eastAsia="Times New Roman" w:hAnsi="Calibri" w:cs="Times New Roman"/>
                <w:color w:val="000000"/>
              </w:rPr>
            </w:pPr>
            <w:r>
              <w:rPr>
                <w:rFonts w:ascii="Calibri" w:eastAsia="Times New Roman" w:hAnsi="Calibri" w:cs="Times New Roman"/>
                <w:color w:val="000000"/>
              </w:rPr>
              <w:t>20</w:t>
            </w:r>
          </w:p>
        </w:tc>
        <w:tc>
          <w:tcPr>
            <w:tcW w:w="1440" w:type="dxa"/>
            <w:tcBorders>
              <w:top w:val="nil"/>
              <w:left w:val="single" w:sz="4" w:space="0" w:color="auto"/>
              <w:bottom w:val="nil"/>
              <w:right w:val="nil"/>
            </w:tcBorders>
            <w:shd w:val="clear" w:color="auto" w:fill="D6E3BC" w:themeFill="accent3" w:themeFillTint="66"/>
            <w:noWrap/>
            <w:hideMark/>
          </w:tcPr>
          <w:p w14:paraId="0026862D" w14:textId="22E8E915"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Chile</w:t>
            </w:r>
          </w:p>
        </w:tc>
        <w:tc>
          <w:tcPr>
            <w:tcW w:w="1080" w:type="dxa"/>
            <w:tcBorders>
              <w:top w:val="nil"/>
              <w:left w:val="nil"/>
              <w:bottom w:val="nil"/>
              <w:right w:val="single" w:sz="4" w:space="0" w:color="auto"/>
            </w:tcBorders>
            <w:shd w:val="clear" w:color="auto" w:fill="D6E3BC" w:themeFill="accent3" w:themeFillTint="66"/>
            <w:noWrap/>
            <w:hideMark/>
          </w:tcPr>
          <w:p w14:paraId="60F61675"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77.74</w:t>
            </w:r>
          </w:p>
        </w:tc>
        <w:tc>
          <w:tcPr>
            <w:tcW w:w="1411" w:type="dxa"/>
            <w:tcBorders>
              <w:top w:val="nil"/>
              <w:left w:val="single" w:sz="4" w:space="0" w:color="auto"/>
              <w:bottom w:val="nil"/>
              <w:right w:val="nil"/>
            </w:tcBorders>
            <w:shd w:val="clear" w:color="auto" w:fill="B6DDE8" w:themeFill="accent5" w:themeFillTint="66"/>
            <w:noWrap/>
            <w:hideMark/>
          </w:tcPr>
          <w:p w14:paraId="5BC8637D"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Romania</w:t>
            </w:r>
          </w:p>
        </w:tc>
        <w:tc>
          <w:tcPr>
            <w:tcW w:w="1350" w:type="dxa"/>
            <w:tcBorders>
              <w:top w:val="nil"/>
              <w:left w:val="nil"/>
              <w:bottom w:val="nil"/>
              <w:right w:val="nil"/>
            </w:tcBorders>
            <w:shd w:val="clear" w:color="auto" w:fill="B6DDE8" w:themeFill="accent5" w:themeFillTint="66"/>
            <w:noWrap/>
            <w:hideMark/>
          </w:tcPr>
          <w:p w14:paraId="319DAA99"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75.89</w:t>
            </w:r>
          </w:p>
        </w:tc>
        <w:tc>
          <w:tcPr>
            <w:tcW w:w="1479" w:type="dxa"/>
            <w:tcBorders>
              <w:top w:val="nil"/>
              <w:left w:val="nil"/>
              <w:bottom w:val="nil"/>
              <w:right w:val="nil"/>
            </w:tcBorders>
            <w:shd w:val="clear" w:color="auto" w:fill="E5B8B7" w:themeFill="accent2" w:themeFillTint="66"/>
            <w:noWrap/>
            <w:hideMark/>
          </w:tcPr>
          <w:p w14:paraId="08A6708C"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Uruguay</w:t>
            </w:r>
          </w:p>
        </w:tc>
        <w:tc>
          <w:tcPr>
            <w:tcW w:w="1199" w:type="dxa"/>
            <w:tcBorders>
              <w:top w:val="nil"/>
              <w:left w:val="nil"/>
              <w:bottom w:val="nil"/>
              <w:right w:val="nil"/>
            </w:tcBorders>
            <w:shd w:val="clear" w:color="auto" w:fill="E5B8B7" w:themeFill="accent2" w:themeFillTint="66"/>
            <w:noWrap/>
            <w:hideMark/>
          </w:tcPr>
          <w:p w14:paraId="743870D7" w14:textId="77777777" w:rsidR="00790356" w:rsidRPr="00790356" w:rsidRDefault="00790356" w:rsidP="00F34925">
            <w:pPr>
              <w:rPr>
                <w:rFonts w:ascii="Calibri" w:eastAsia="Times New Roman" w:hAnsi="Calibri" w:cs="Times New Roman"/>
                <w:color w:val="000000"/>
              </w:rPr>
            </w:pPr>
            <w:r w:rsidRPr="00790356">
              <w:rPr>
                <w:rFonts w:ascii="Calibri" w:eastAsia="Times New Roman" w:hAnsi="Calibri" w:cs="Times New Roman"/>
                <w:color w:val="000000"/>
              </w:rPr>
              <w:t>77.37</w:t>
            </w:r>
          </w:p>
        </w:tc>
      </w:tr>
    </w:tbl>
    <w:p w14:paraId="786E5DA2" w14:textId="77777777" w:rsidR="00517E63" w:rsidRDefault="00517E63" w:rsidP="00A1756F">
      <w:pPr>
        <w:pStyle w:val="Heading2"/>
        <w:rPr>
          <w:rFonts w:ascii="Helvetica" w:eastAsiaTheme="minorEastAsia" w:hAnsi="Helvetica" w:cs="Helvetica"/>
          <w:b w:val="0"/>
          <w:bCs w:val="0"/>
          <w:color w:val="auto"/>
          <w:sz w:val="24"/>
          <w:szCs w:val="24"/>
        </w:rPr>
      </w:pPr>
      <w:bookmarkStart w:id="15" w:name="_Toc204770310"/>
    </w:p>
    <w:p w14:paraId="68D9046B" w14:textId="77777777" w:rsidR="00517E63" w:rsidRDefault="00517E63">
      <w:pPr>
        <w:rPr>
          <w:rFonts w:ascii="Helvetica" w:hAnsi="Helvetica" w:cs="Helvetica"/>
        </w:rPr>
      </w:pPr>
      <w:r>
        <w:rPr>
          <w:rFonts w:ascii="Helvetica" w:hAnsi="Helvetica" w:cs="Helvetica"/>
          <w:b/>
          <w:bCs/>
        </w:rPr>
        <w:br w:type="page"/>
      </w:r>
    </w:p>
    <w:p w14:paraId="19AAA390" w14:textId="7D1C9FF0" w:rsidR="00A1756F" w:rsidRDefault="00A1756F" w:rsidP="00A1756F">
      <w:pPr>
        <w:pStyle w:val="Heading2"/>
      </w:pPr>
      <w:bookmarkStart w:id="16" w:name="_Toc205256438"/>
      <w:r>
        <w:lastRenderedPageBreak/>
        <w:t xml:space="preserve">Differences in the Score for </w:t>
      </w:r>
      <w:bookmarkEnd w:id="15"/>
      <w:r w:rsidR="00461CDC">
        <w:t>2010</w:t>
      </w:r>
      <w:bookmarkEnd w:id="16"/>
      <w:r w:rsidR="00AF69A4">
        <w:t xml:space="preserve">  </w:t>
      </w:r>
    </w:p>
    <w:p w14:paraId="5EC10435" w14:textId="77777777" w:rsidR="00517E63" w:rsidRPr="00517E63" w:rsidRDefault="00517E63" w:rsidP="00517E63"/>
    <w:p w14:paraId="3E15474A" w14:textId="77777777" w:rsidR="00542993" w:rsidRDefault="00517E63" w:rsidP="00B01FE2">
      <w:pPr>
        <w:keepNext/>
      </w:pPr>
      <w:r>
        <w:rPr>
          <w:noProof/>
        </w:rPr>
        <w:drawing>
          <wp:inline distT="0" distB="0" distL="0" distR="0" wp14:anchorId="0CA1629A" wp14:editId="38161382">
            <wp:extent cx="5027295" cy="3109595"/>
            <wp:effectExtent l="0" t="0" r="1905" b="0"/>
            <wp:docPr id="8" name="Picture 8" descr="Macintosh HD:Users:brunosan:Downloads:chart_2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unosan:Downloads:chart_2 (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7295" cy="3109595"/>
                    </a:xfrm>
                    <a:prstGeom prst="rect">
                      <a:avLst/>
                    </a:prstGeom>
                    <a:noFill/>
                    <a:ln>
                      <a:noFill/>
                    </a:ln>
                  </pic:spPr>
                </pic:pic>
              </a:graphicData>
            </a:graphic>
          </wp:inline>
        </w:drawing>
      </w:r>
    </w:p>
    <w:p w14:paraId="42517B7E" w14:textId="26B2CC42" w:rsidR="00A1756F" w:rsidRDefault="00542993" w:rsidP="00B01FE2">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 Differences in Score between “Gain 2011 Legacy” and “Gain 2012 Update”. Horizontal axis is the “Gain 2011 Legacy” Score. Vertical Axis, and bubble size is the percentage change in Scores compared to “Gain 2012 Update”. Negative numbers (and red color) indicate less Score in the updated version.</w:t>
      </w:r>
    </w:p>
    <w:p w14:paraId="5FA108E6" w14:textId="77777777" w:rsidR="00880368" w:rsidRDefault="00880368" w:rsidP="00A1756F"/>
    <w:p w14:paraId="3432BCA0" w14:textId="4D3DD444" w:rsidR="00A1756F" w:rsidRDefault="00A1756F" w:rsidP="00A1756F">
      <w:r>
        <w:t xml:space="preserve">The median change in scores is </w:t>
      </w:r>
      <w:r w:rsidR="00880368">
        <w:t>0.10% (min</w:t>
      </w:r>
      <w:r>
        <w:t xml:space="preserve"> </w:t>
      </w:r>
      <w:r w:rsidR="00880368">
        <w:t>-4.36%, max</w:t>
      </w:r>
      <w:r w:rsidR="00403DC8">
        <w:t xml:space="preserve"> </w:t>
      </w:r>
      <w:r w:rsidR="00880368">
        <w:t>4.15</w:t>
      </w:r>
      <w:r w:rsidR="00403DC8">
        <w:t>%). Several sources</w:t>
      </w:r>
      <w:r>
        <w:t xml:space="preserve"> of these differences have been identified:</w:t>
      </w:r>
    </w:p>
    <w:p w14:paraId="08E2DEA0" w14:textId="6D51994F" w:rsidR="00880368" w:rsidRDefault="00880368" w:rsidP="00A1756F">
      <w:pPr>
        <w:pStyle w:val="ListParagraph"/>
        <w:numPr>
          <w:ilvl w:val="0"/>
          <w:numId w:val="2"/>
        </w:numPr>
      </w:pPr>
      <w:r>
        <w:t>Agricultural Capacity composite measure. We are investigating the issue.</w:t>
      </w:r>
    </w:p>
    <w:p w14:paraId="197B1361" w14:textId="31AE2E6F" w:rsidR="00A1756F" w:rsidRDefault="00A1756F" w:rsidP="00A1756F">
      <w:pPr>
        <w:pStyle w:val="ListParagraph"/>
        <w:numPr>
          <w:ilvl w:val="0"/>
          <w:numId w:val="2"/>
        </w:numPr>
      </w:pPr>
      <w:r>
        <w:t>Re-sourcing of some of the measures include</w:t>
      </w:r>
      <w:r w:rsidR="009C3B6C">
        <w:t>s</w:t>
      </w:r>
      <w:r>
        <w:t xml:space="preserve"> </w:t>
      </w:r>
      <w:r w:rsidR="009C3B6C">
        <w:t xml:space="preserve">updated or revised numbers and sometimes </w:t>
      </w:r>
      <w:r w:rsidR="00A46FC2">
        <w:t>more data</w:t>
      </w:r>
      <w:r w:rsidR="009C3B6C">
        <w:t xml:space="preserve"> points</w:t>
      </w:r>
      <w:r w:rsidR="00A46FC2">
        <w:t xml:space="preserve">, which means more countries </w:t>
      </w:r>
      <w:r w:rsidR="00104C1E">
        <w:t xml:space="preserve">can be included and </w:t>
      </w:r>
      <w:r w:rsidR="00A46FC2">
        <w:t>less interpolation for existing countries</w:t>
      </w:r>
      <w:r>
        <w:t>.</w:t>
      </w:r>
    </w:p>
    <w:p w14:paraId="21A32E22" w14:textId="296220E8" w:rsidR="00A1756F" w:rsidRDefault="00A1756F" w:rsidP="00A1756F">
      <w:pPr>
        <w:pStyle w:val="ListParagraph"/>
        <w:numPr>
          <w:ilvl w:val="0"/>
          <w:numId w:val="2"/>
        </w:numPr>
      </w:pPr>
      <w:r>
        <w:t xml:space="preserve">Fixing bugs such as one that </w:t>
      </w:r>
      <w:r w:rsidR="00403DC8">
        <w:t>allocated</w:t>
      </w:r>
      <w:r>
        <w:t xml:space="preserve"> 0 vulnerability in Water Capacity to some countries.</w:t>
      </w:r>
    </w:p>
    <w:p w14:paraId="0C2D832E" w14:textId="77777777" w:rsidR="00A1756F" w:rsidRDefault="00A1756F" w:rsidP="00A1756F">
      <w:pPr>
        <w:pStyle w:val="ListParagraph"/>
        <w:numPr>
          <w:ilvl w:val="0"/>
          <w:numId w:val="2"/>
        </w:numPr>
      </w:pPr>
      <w:r>
        <w:t>Slightly different, more consistent approach dealing with missing numbers.</w:t>
      </w:r>
    </w:p>
    <w:p w14:paraId="490E315C" w14:textId="77777777" w:rsidR="00A1756F" w:rsidRDefault="00A1756F" w:rsidP="00A1756F"/>
    <w:p w14:paraId="1CE07BC1" w14:textId="2DCB507A" w:rsidR="00A1756F" w:rsidRDefault="00A1756F" w:rsidP="00403DC8">
      <w:r>
        <w:t xml:space="preserve">We are still tracing the sources of the biggest differences to make sure the origin of these changes is known </w:t>
      </w:r>
      <w:r w:rsidR="00517E63">
        <w:t xml:space="preserve">referenced, </w:t>
      </w:r>
      <w:r>
        <w:t>and understood.</w:t>
      </w:r>
    </w:p>
    <w:p w14:paraId="0ABE806A" w14:textId="77777777" w:rsidR="00077F97" w:rsidRDefault="00077F97" w:rsidP="00403DC8">
      <w:pPr>
        <w:pStyle w:val="Heading1"/>
      </w:pPr>
      <w:bookmarkStart w:id="17" w:name="_Toc205256439"/>
      <w:bookmarkStart w:id="18" w:name="_Toc204770311"/>
      <w:r>
        <w:t>GAIN 2012 Upgrade</w:t>
      </w:r>
      <w:bookmarkEnd w:id="17"/>
    </w:p>
    <w:p w14:paraId="2DCC10C5" w14:textId="77777777" w:rsidR="00137009" w:rsidRDefault="00137009" w:rsidP="00077F97"/>
    <w:p w14:paraId="49B93435" w14:textId="3284C8B6" w:rsidR="00077F97" w:rsidRDefault="00137009" w:rsidP="00077F97">
      <w:r>
        <w:t>Following the Feedback received throughout the year, we are adding 2 additional measures for the Vulnerability Axis (Ecosystems and Settlements).</w:t>
      </w:r>
    </w:p>
    <w:p w14:paraId="60852229" w14:textId="77777777" w:rsidR="00137009" w:rsidRDefault="00137009" w:rsidP="00077F97"/>
    <w:p w14:paraId="4C174ED4" w14:textId="1B6469BE" w:rsidR="00137009" w:rsidRPr="00137009" w:rsidRDefault="00137009" w:rsidP="00077F97">
      <w:pPr>
        <w:rPr>
          <w:i/>
        </w:rPr>
      </w:pPr>
      <w:r w:rsidRPr="00137009">
        <w:rPr>
          <w:i/>
        </w:rPr>
        <w:t xml:space="preserve">Please see </w:t>
      </w:r>
      <w:r w:rsidR="00104C1E">
        <w:rPr>
          <w:i/>
        </w:rPr>
        <w:t>the</w:t>
      </w:r>
      <w:r w:rsidR="00104C1E" w:rsidRPr="00137009">
        <w:rPr>
          <w:i/>
        </w:rPr>
        <w:t xml:space="preserve"> </w:t>
      </w:r>
      <w:r w:rsidRPr="00137009">
        <w:rPr>
          <w:i/>
        </w:rPr>
        <w:t xml:space="preserve">document describing </w:t>
      </w:r>
      <w:r w:rsidR="00104C1E">
        <w:rPr>
          <w:i/>
        </w:rPr>
        <w:t>progress towards the inclusion of these measures</w:t>
      </w:r>
      <w:r w:rsidRPr="00137009">
        <w:rPr>
          <w:i/>
        </w:rPr>
        <w:t>.</w:t>
      </w:r>
    </w:p>
    <w:p w14:paraId="750A4382" w14:textId="495129B0" w:rsidR="00403DC8" w:rsidRDefault="00403DC8" w:rsidP="00403DC8">
      <w:pPr>
        <w:pStyle w:val="Heading1"/>
      </w:pPr>
      <w:bookmarkStart w:id="19" w:name="_Toc205256440"/>
      <w:r>
        <w:lastRenderedPageBreak/>
        <w:t>Specific Open Issues</w:t>
      </w:r>
      <w:bookmarkEnd w:id="18"/>
      <w:bookmarkEnd w:id="19"/>
      <w:r>
        <w:t xml:space="preserve"> </w:t>
      </w:r>
    </w:p>
    <w:p w14:paraId="25CCD0B5" w14:textId="77777777" w:rsidR="00403DC8" w:rsidRDefault="00403DC8" w:rsidP="00403DC8">
      <w:pPr>
        <w:pStyle w:val="Heading2"/>
      </w:pPr>
      <w:bookmarkStart w:id="20" w:name="_Toc204770312"/>
      <w:bookmarkStart w:id="21" w:name="_Toc205256441"/>
      <w:r>
        <w:t>Website update-upgrade</w:t>
      </w:r>
      <w:bookmarkEnd w:id="20"/>
      <w:bookmarkEnd w:id="21"/>
    </w:p>
    <w:p w14:paraId="3D6F7A9C" w14:textId="763953AB" w:rsidR="00403DC8" w:rsidRDefault="00403DC8" w:rsidP="00403DC8">
      <w:r>
        <w:t xml:space="preserve">There are significant improvements suggested for the website. Some are feasible as additions to the current website framework, some are more suitable </w:t>
      </w:r>
      <w:r w:rsidR="00104C1E">
        <w:t xml:space="preserve">as </w:t>
      </w:r>
      <w:r>
        <w:t>an Excel file.</w:t>
      </w:r>
    </w:p>
    <w:p w14:paraId="78BF77C1" w14:textId="77777777" w:rsidR="00403DC8" w:rsidRDefault="00403DC8" w:rsidP="00403DC8"/>
    <w:p w14:paraId="42912967" w14:textId="7F52FF43" w:rsidR="00403DC8" w:rsidRDefault="00A46FC2" w:rsidP="00403DC8">
      <w:r>
        <w:t>Suggested approach:</w:t>
      </w:r>
    </w:p>
    <w:p w14:paraId="70C98DD4" w14:textId="77777777" w:rsidR="00A46FC2" w:rsidRDefault="00A46FC2" w:rsidP="00403DC8"/>
    <w:p w14:paraId="2E17BA48" w14:textId="2260E630" w:rsidR="00A46FC2" w:rsidRDefault="00517E63" w:rsidP="00403DC8">
      <w:r>
        <w:t>Some p</w:t>
      </w:r>
      <w:r w:rsidR="00A46FC2">
        <w:t>roposed website changes:</w:t>
      </w:r>
    </w:p>
    <w:p w14:paraId="5F522942" w14:textId="104BC96D" w:rsidR="00A46FC2" w:rsidRDefault="00A46FC2" w:rsidP="00A46FC2">
      <w:pPr>
        <w:pStyle w:val="ListParagraph"/>
        <w:numPr>
          <w:ilvl w:val="0"/>
          <w:numId w:val="5"/>
        </w:numPr>
      </w:pPr>
      <w:r>
        <w:t xml:space="preserve">Consistent </w:t>
      </w:r>
      <w:r w:rsidR="00586CCA">
        <w:t>use of matrix quadrant colors</w:t>
      </w:r>
      <w:r w:rsidR="00517E63">
        <w:t xml:space="preserve"> in maps</w:t>
      </w:r>
      <w:r w:rsidR="00E14F66">
        <w:t>.</w:t>
      </w:r>
      <w:r w:rsidR="00517E63">
        <w:t xml:space="preserve"> </w:t>
      </w:r>
    </w:p>
    <w:p w14:paraId="4F89E3F0" w14:textId="536927CA" w:rsidR="00A46FC2" w:rsidRDefault="00A46FC2" w:rsidP="00A46FC2">
      <w:pPr>
        <w:pStyle w:val="ListParagraph"/>
        <w:numPr>
          <w:ilvl w:val="0"/>
          <w:numId w:val="5"/>
        </w:numPr>
      </w:pPr>
      <w:r>
        <w:t xml:space="preserve">Improve </w:t>
      </w:r>
      <w:r w:rsidR="00104C1E">
        <w:t xml:space="preserve">the selection of </w:t>
      </w:r>
      <w:r>
        <w:t xml:space="preserve">similar countries </w:t>
      </w:r>
      <w:r w:rsidR="00104C1E">
        <w:t xml:space="preserve">for that </w:t>
      </w:r>
      <w:r>
        <w:t xml:space="preserve">tab </w:t>
      </w:r>
      <w:r w:rsidR="00104C1E">
        <w:t xml:space="preserve">by </w:t>
      </w:r>
      <w:r>
        <w:t xml:space="preserve">considering </w:t>
      </w:r>
      <w:r w:rsidR="00E14F66">
        <w:t xml:space="preserve">not only the </w:t>
      </w:r>
      <w:r>
        <w:t xml:space="preserve">overall score, </w:t>
      </w:r>
      <w:r w:rsidR="00E14F66">
        <w:t>but also neighboring countries</w:t>
      </w:r>
      <w:r>
        <w:t xml:space="preserve">, </w:t>
      </w:r>
      <w:r w:rsidR="00104C1E">
        <w:t>i</w:t>
      </w:r>
      <w:r>
        <w:t xml:space="preserve">ncome group, </w:t>
      </w:r>
      <w:r w:rsidR="00104C1E">
        <w:t>etc</w:t>
      </w:r>
      <w:r w:rsidR="00E14F66">
        <w:t>.</w:t>
      </w:r>
    </w:p>
    <w:p w14:paraId="7D3902FD" w14:textId="04284D13" w:rsidR="00A46FC2" w:rsidRDefault="00A46FC2" w:rsidP="00A46FC2">
      <w:pPr>
        <w:pStyle w:val="ListParagraph"/>
        <w:numPr>
          <w:ilvl w:val="0"/>
          <w:numId w:val="5"/>
        </w:numPr>
      </w:pPr>
      <w:r>
        <w:t>A</w:t>
      </w:r>
      <w:r w:rsidR="00104C1E">
        <w:t>dd an a</w:t>
      </w:r>
      <w:r>
        <w:t>bility to compare countries/sectors</w:t>
      </w:r>
      <w:bookmarkStart w:id="22" w:name="_GoBack"/>
      <w:bookmarkEnd w:id="22"/>
      <w:r>
        <w:t>.</w:t>
      </w:r>
      <w:r w:rsidR="00104C1E">
        <w:t xml:space="preserve"> </w:t>
      </w:r>
    </w:p>
    <w:p w14:paraId="2E68E898" w14:textId="343DA079" w:rsidR="00A46FC2" w:rsidRDefault="00A46FC2" w:rsidP="00A46FC2">
      <w:pPr>
        <w:pStyle w:val="ListParagraph"/>
        <w:numPr>
          <w:ilvl w:val="0"/>
          <w:numId w:val="5"/>
        </w:numPr>
      </w:pPr>
      <w:r>
        <w:t>Disaggregate dots in Matrix according to Sectors</w:t>
      </w:r>
      <w:r w:rsidR="00542993">
        <w:t>. This means the ability to place in the matrix the different components of each Axis (Exposure, Food, Economic, …)</w:t>
      </w:r>
    </w:p>
    <w:p w14:paraId="44ED2FC6" w14:textId="70B6AC2B" w:rsidR="00517E63" w:rsidRDefault="00A46FC2" w:rsidP="00517E63">
      <w:pPr>
        <w:pStyle w:val="ListParagraph"/>
        <w:numPr>
          <w:ilvl w:val="0"/>
          <w:numId w:val="5"/>
        </w:numPr>
      </w:pPr>
      <w:r>
        <w:t>Filter countries by range of scores in selected sectors.</w:t>
      </w:r>
    </w:p>
    <w:p w14:paraId="4127742A" w14:textId="21A04D98" w:rsidR="0023059D" w:rsidRDefault="0023059D" w:rsidP="00517E63">
      <w:pPr>
        <w:pStyle w:val="ListParagraph"/>
        <w:numPr>
          <w:ilvl w:val="0"/>
          <w:numId w:val="5"/>
        </w:numPr>
      </w:pPr>
      <w:r>
        <w:t>Present histogram of values for Measures, to have an idea of the global spread of values.</w:t>
      </w:r>
    </w:p>
    <w:p w14:paraId="739AE6E2" w14:textId="441B3956" w:rsidR="00542993" w:rsidRDefault="0023059D" w:rsidP="00B01FE2">
      <w:pPr>
        <w:pStyle w:val="ListParagraph"/>
        <w:numPr>
          <w:ilvl w:val="0"/>
          <w:numId w:val="5"/>
        </w:numPr>
      </w:pPr>
      <w:r>
        <w:t xml:space="preserve">Resolve Rank ties within the </w:t>
      </w:r>
      <w:r w:rsidR="00542993">
        <w:t xml:space="preserve">chosen </w:t>
      </w:r>
      <w:r>
        <w:t xml:space="preserve">uncertainty in scores. </w:t>
      </w:r>
      <w:r w:rsidR="00542993">
        <w:t>In the current Ranking we only count one decimal point. New Zealand (5</w:t>
      </w:r>
      <w:r w:rsidR="00542993" w:rsidRPr="00B01FE2">
        <w:rPr>
          <w:vertAlign w:val="superscript"/>
        </w:rPr>
        <w:t>th</w:t>
      </w:r>
      <w:r w:rsidR="00542993" w:rsidRPr="00542993">
        <w:rPr>
          <w:vertAlign w:val="superscript"/>
        </w:rPr>
        <w:t xml:space="preserve"> </w:t>
      </w:r>
      <w:r w:rsidR="00542993">
        <w:t>in the ranking) and Finland (6</w:t>
      </w:r>
      <w:r w:rsidR="00542993" w:rsidRPr="00B01FE2">
        <w:rPr>
          <w:vertAlign w:val="superscript"/>
        </w:rPr>
        <w:t>th</w:t>
      </w:r>
      <w:r w:rsidR="00542993">
        <w:t xml:space="preserve"> ) both have Score 81.7. Finland needs to be tied in 5</w:t>
      </w:r>
      <w:r w:rsidR="00542993" w:rsidRPr="00B01FE2">
        <w:rPr>
          <w:vertAlign w:val="superscript"/>
        </w:rPr>
        <w:t>th</w:t>
      </w:r>
      <w:r w:rsidR="00542993">
        <w:t xml:space="preserve"> position, and Norway will keep it´s Rank (7</w:t>
      </w:r>
      <w:r w:rsidR="00542993" w:rsidRPr="00B01FE2">
        <w:rPr>
          <w:vertAlign w:val="superscript"/>
        </w:rPr>
        <w:t>th</w:t>
      </w:r>
      <w:r w:rsidR="00542993">
        <w:t xml:space="preserve">) </w:t>
      </w:r>
    </w:p>
    <w:p w14:paraId="3B8ABFAA" w14:textId="77777777" w:rsidR="00A46FC2" w:rsidRDefault="00A46FC2" w:rsidP="00542993"/>
    <w:p w14:paraId="3E5C4255" w14:textId="3846FB80" w:rsidR="00AA2795" w:rsidRDefault="00AA2795" w:rsidP="00AA2795">
      <w:r w:rsidRPr="00AA2795">
        <w:rPr>
          <w:i/>
        </w:rPr>
        <w:t>Excel Version</w:t>
      </w:r>
      <w:r>
        <w:t>: We are considering preparing a version of the Index in Excel format with more comparators and tools for advanced users.</w:t>
      </w:r>
    </w:p>
    <w:p w14:paraId="1CB85CB2" w14:textId="77777777" w:rsidR="00A46FC2" w:rsidRDefault="00A46FC2" w:rsidP="00A46FC2"/>
    <w:p w14:paraId="09386D09" w14:textId="77777777" w:rsidR="007D3540" w:rsidRDefault="007D3540" w:rsidP="00403DC8">
      <w:pPr>
        <w:pStyle w:val="Heading2"/>
      </w:pPr>
      <w:bookmarkStart w:id="23" w:name="_Toc205256442"/>
      <w:bookmarkStart w:id="24" w:name="_Toc204770313"/>
      <w:r>
        <w:t>Readiness Axis</w:t>
      </w:r>
      <w:bookmarkEnd w:id="23"/>
    </w:p>
    <w:p w14:paraId="7AD5571F" w14:textId="77777777" w:rsidR="007D3540" w:rsidRDefault="007D3540" w:rsidP="007D3540"/>
    <w:p w14:paraId="6C685583" w14:textId="0E1FE640" w:rsidR="007D3540" w:rsidRDefault="007D3540" w:rsidP="007D3540">
      <w:r>
        <w:t xml:space="preserve">We </w:t>
      </w:r>
      <w:r w:rsidR="00AA1379">
        <w:t xml:space="preserve">also </w:t>
      </w:r>
      <w:r>
        <w:t xml:space="preserve">recognize the importance of revisiting the Readiness Axis. Feedback received in this regard suggests several directions to </w:t>
      </w:r>
      <w:r w:rsidR="00AA1379">
        <w:t>investigate</w:t>
      </w:r>
      <w:r>
        <w:t>. For example</w:t>
      </w:r>
      <w:r w:rsidR="00AA1379">
        <w:t>,</w:t>
      </w:r>
      <w:r>
        <w:t xml:space="preserve"> a Readiness Structure separating </w:t>
      </w:r>
      <w:r w:rsidRPr="007D3540">
        <w:rPr>
          <w:i/>
        </w:rPr>
        <w:t>Policies</w:t>
      </w:r>
      <w:r>
        <w:t xml:space="preserve"> and </w:t>
      </w:r>
      <w:r w:rsidRPr="007D3540">
        <w:rPr>
          <w:i/>
        </w:rPr>
        <w:t>Outcomes</w:t>
      </w:r>
      <w:r>
        <w:t>. In combination with the 3 current sectors (Economic, Government and Social) this would create a conceptual matrix similar to the Vulnerability Axis. There is also an Issue on ho</w:t>
      </w:r>
      <w:r w:rsidR="00AA1379">
        <w:t>w</w:t>
      </w:r>
      <w:r>
        <w:t xml:space="preserve"> to </w:t>
      </w:r>
      <w:r w:rsidR="00AA1379">
        <w:t xml:space="preserve">treat and </w:t>
      </w:r>
      <w:r>
        <w:t xml:space="preserve">distinguish </w:t>
      </w:r>
      <w:r w:rsidR="00AA1379">
        <w:t xml:space="preserve">Adaptation </w:t>
      </w:r>
      <w:r>
        <w:t xml:space="preserve">Capacity </w:t>
      </w:r>
      <w:r w:rsidR="00AA1379">
        <w:t xml:space="preserve">(currently part of the Vulnerability Score) </w:t>
      </w:r>
      <w:r>
        <w:t>and some components of Readiness.</w:t>
      </w:r>
    </w:p>
    <w:p w14:paraId="5C9A99CD" w14:textId="77777777" w:rsidR="007D3540" w:rsidRDefault="007D3540" w:rsidP="007D3540"/>
    <w:p w14:paraId="70A91557" w14:textId="78D0D44D" w:rsidR="0052417D" w:rsidRDefault="007D3540" w:rsidP="0023059D">
      <w:r>
        <w:t xml:space="preserve">We need to explore all these possibilities, but we have decided to focus on the priorities listed </w:t>
      </w:r>
      <w:r w:rsidR="00AA1379">
        <w:t>i</w:t>
      </w:r>
      <w:r>
        <w:t>n this document for the GAIN Index 2012.</w:t>
      </w:r>
    </w:p>
    <w:p w14:paraId="3F033AF4" w14:textId="6BABCF0C" w:rsidR="00403DC8" w:rsidRDefault="00403DC8" w:rsidP="00403DC8">
      <w:pPr>
        <w:pStyle w:val="Heading2"/>
      </w:pPr>
      <w:bookmarkStart w:id="25" w:name="_Toc205256443"/>
      <w:r>
        <w:t>To Do</w:t>
      </w:r>
      <w:bookmarkEnd w:id="24"/>
      <w:bookmarkEnd w:id="25"/>
    </w:p>
    <w:p w14:paraId="79F96A58" w14:textId="77777777" w:rsidR="00403DC8" w:rsidRDefault="00403DC8" w:rsidP="00403DC8"/>
    <w:p w14:paraId="37F9EF0D" w14:textId="0F5B7FC7" w:rsidR="00CC3A5B" w:rsidRDefault="00CC3A5B" w:rsidP="00403DC8">
      <w:pPr>
        <w:pStyle w:val="ListParagraph"/>
        <w:numPr>
          <w:ilvl w:val="0"/>
          <w:numId w:val="2"/>
        </w:numPr>
      </w:pPr>
      <w:r>
        <w:t>Further explore differences with the Internal audit</w:t>
      </w:r>
      <w:r w:rsidR="00FF6CF5">
        <w:t xml:space="preserve"> (and debugging)</w:t>
      </w:r>
      <w:r>
        <w:t>.</w:t>
      </w:r>
    </w:p>
    <w:p w14:paraId="26EFB4B1" w14:textId="4441A027" w:rsidR="00403DC8" w:rsidRDefault="00586CCA" w:rsidP="00442AF7">
      <w:pPr>
        <w:pStyle w:val="ListParagraph"/>
        <w:numPr>
          <w:ilvl w:val="0"/>
          <w:numId w:val="2"/>
        </w:numPr>
      </w:pPr>
      <w:r>
        <w:lastRenderedPageBreak/>
        <w:t>A few c</w:t>
      </w:r>
      <w:r w:rsidR="00403DC8">
        <w:t>ode</w:t>
      </w:r>
      <w:r>
        <w:t xml:space="preserve"> modules are still missing (</w:t>
      </w:r>
      <w:r w:rsidR="00403DC8">
        <w:t>export to .csv</w:t>
      </w:r>
      <w:r>
        <w:t xml:space="preserve">, calculation of </w:t>
      </w:r>
      <w:r w:rsidR="00403DC8">
        <w:t>trends</w:t>
      </w:r>
      <w:r>
        <w:t xml:space="preserve">, </w:t>
      </w:r>
      <w:r w:rsidR="00403DC8">
        <w:t>GDP adjusted GAIN Ind</w:t>
      </w:r>
      <w:r w:rsidR="00442AF7">
        <w:t xml:space="preserve">ex, Readiness and Vulnerability, </w:t>
      </w:r>
      <w:r w:rsidR="00FF6CF5">
        <w:t xml:space="preserve">Overall </w:t>
      </w:r>
      <w:r w:rsidR="00442AF7">
        <w:t>Internal correlations analysis)</w:t>
      </w:r>
    </w:p>
    <w:p w14:paraId="54F3B168" w14:textId="7E172C91" w:rsidR="00403DC8" w:rsidRDefault="00B33859" w:rsidP="00FF6CF5">
      <w:pPr>
        <w:pStyle w:val="Heading1"/>
      </w:pPr>
      <w:bookmarkStart w:id="26" w:name="_Toc205256444"/>
      <w:r>
        <w:t>Next Steps</w:t>
      </w:r>
      <w:bookmarkEnd w:id="26"/>
    </w:p>
    <w:p w14:paraId="2B47D731" w14:textId="77777777" w:rsidR="00B33859" w:rsidRDefault="00B33859" w:rsidP="00B33859"/>
    <w:p w14:paraId="5A15B89A" w14:textId="6D870422" w:rsidR="00B33859" w:rsidRDefault="00B33859" w:rsidP="00B33859">
      <w:r>
        <w:t xml:space="preserve">We are aiming to launch the Index in October. We thus propose the following </w:t>
      </w:r>
      <w:r w:rsidR="00FF6CF5">
        <w:t xml:space="preserve">tentative </w:t>
      </w:r>
      <w:r>
        <w:t>Road Plan:</w:t>
      </w:r>
    </w:p>
    <w:p w14:paraId="0E57C497" w14:textId="77777777" w:rsidR="00B33859" w:rsidRDefault="00B33859" w:rsidP="00B33859"/>
    <w:p w14:paraId="1D16DFC0" w14:textId="77777777" w:rsidR="00D3115A" w:rsidRDefault="00D3115A" w:rsidP="00B33859">
      <w:pPr>
        <w:pStyle w:val="ListParagraph"/>
        <w:numPr>
          <w:ilvl w:val="0"/>
          <w:numId w:val="8"/>
        </w:numPr>
      </w:pPr>
      <w:r>
        <w:t>Consultation with the CoSA: 1-2</w:t>
      </w:r>
      <w:r w:rsidR="00B33859">
        <w:t>5 August.</w:t>
      </w:r>
    </w:p>
    <w:p w14:paraId="4F934BED" w14:textId="77777777" w:rsidR="00D3115A" w:rsidRDefault="00B33859" w:rsidP="00B33859">
      <w:pPr>
        <w:pStyle w:val="ListParagraph"/>
        <w:numPr>
          <w:ilvl w:val="0"/>
          <w:numId w:val="8"/>
        </w:numPr>
      </w:pPr>
      <w:r>
        <w:t>Consultation wit</w:t>
      </w:r>
      <w:r w:rsidR="00D3115A">
        <w:t>h extended group of users (Industry, Government, Universities, …):  10</w:t>
      </w:r>
      <w:r w:rsidR="00457CFE">
        <w:t>-25</w:t>
      </w:r>
      <w:r>
        <w:t xml:space="preserve"> August.</w:t>
      </w:r>
    </w:p>
    <w:p w14:paraId="130853DD" w14:textId="77777777" w:rsidR="00D3115A" w:rsidRDefault="00457CFE" w:rsidP="00B33859">
      <w:pPr>
        <w:pStyle w:val="ListParagraph"/>
        <w:numPr>
          <w:ilvl w:val="0"/>
          <w:numId w:val="8"/>
        </w:numPr>
      </w:pPr>
      <w:r>
        <w:t xml:space="preserve">Open Consultation: </w:t>
      </w:r>
      <w:r w:rsidR="00FF6CF5">
        <w:t>25 August</w:t>
      </w:r>
      <w:r>
        <w:t>-</w:t>
      </w:r>
      <w:r w:rsidR="00FF6CF5">
        <w:t xml:space="preserve"> 5</w:t>
      </w:r>
      <w:r>
        <w:t xml:space="preserve"> September.</w:t>
      </w:r>
    </w:p>
    <w:p w14:paraId="4CF43B6D" w14:textId="05E4B8B2" w:rsidR="00D3115A" w:rsidRDefault="00FF6CF5" w:rsidP="00D3115A">
      <w:pPr>
        <w:pStyle w:val="ListParagraph"/>
        <w:numPr>
          <w:ilvl w:val="0"/>
          <w:numId w:val="8"/>
        </w:numPr>
      </w:pPr>
      <w:r>
        <w:t>Design freezes</w:t>
      </w:r>
      <w:r w:rsidR="0001329F">
        <w:t xml:space="preserve">. </w:t>
      </w:r>
      <w:r>
        <w:t>Prepare</w:t>
      </w:r>
      <w:r w:rsidR="0001329F">
        <w:t xml:space="preserve"> F</w:t>
      </w:r>
      <w:r w:rsidR="00457CFE">
        <w:t>ina</w:t>
      </w:r>
      <w:r w:rsidR="0001329F">
        <w:t>l N</w:t>
      </w:r>
      <w:r w:rsidR="00D3115A">
        <w:t xml:space="preserve">umbers and Documentation: </w:t>
      </w:r>
      <w:r w:rsidR="00457CFE">
        <w:t>5</w:t>
      </w:r>
      <w:r w:rsidR="0001329F">
        <w:t>-</w:t>
      </w:r>
      <w:r w:rsidR="00D3115A">
        <w:t>15</w:t>
      </w:r>
      <w:r w:rsidR="00457CFE">
        <w:t xml:space="preserve"> September.</w:t>
      </w:r>
    </w:p>
    <w:p w14:paraId="0DFF5FA4" w14:textId="3B05415C" w:rsidR="00457CFE" w:rsidRDefault="00457CFE" w:rsidP="00B33859">
      <w:pPr>
        <w:pStyle w:val="ListParagraph"/>
        <w:numPr>
          <w:ilvl w:val="0"/>
          <w:numId w:val="8"/>
        </w:numPr>
      </w:pPr>
      <w:r>
        <w:t xml:space="preserve">Website Development: </w:t>
      </w:r>
      <w:r w:rsidR="00517E63">
        <w:t>[Tentative] S</w:t>
      </w:r>
      <w:r>
        <w:t>econd half of September.</w:t>
      </w:r>
    </w:p>
    <w:p w14:paraId="1904DA04" w14:textId="77777777" w:rsidR="00457CFE" w:rsidRDefault="00457CFE" w:rsidP="00B33859"/>
    <w:p w14:paraId="7F758F52" w14:textId="19A48803" w:rsidR="00AA6331" w:rsidRPr="006E57EF" w:rsidRDefault="00AA6331" w:rsidP="00403DC8">
      <w:pPr>
        <w:pStyle w:val="Heading2"/>
      </w:pPr>
    </w:p>
    <w:sectPr w:rsidR="00AA6331" w:rsidRPr="006E57EF" w:rsidSect="00936ABF">
      <w:headerReference w:type="default" r:id="rId19"/>
      <w:footerReference w:type="defaul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0E7D35" w14:textId="77777777" w:rsidR="00AA1379" w:rsidRDefault="00AA1379" w:rsidP="00290B64">
      <w:r>
        <w:separator/>
      </w:r>
    </w:p>
  </w:endnote>
  <w:endnote w:type="continuationSeparator" w:id="0">
    <w:p w14:paraId="01EC9868" w14:textId="77777777" w:rsidR="00AA1379" w:rsidRDefault="00AA1379" w:rsidP="00290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D9C506" w14:textId="4D686327" w:rsidR="00AA1379" w:rsidRDefault="00AA1379" w:rsidP="00290B64">
    <w:pPr>
      <w:pStyle w:val="Footer"/>
      <w:jc w:val="center"/>
    </w:pPr>
    <w:r>
      <w:t>-Not for circulation outside the consultation process-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03AE68" w14:textId="77777777" w:rsidR="00AA1379" w:rsidRDefault="00AA1379" w:rsidP="00290B64">
      <w:r>
        <w:separator/>
      </w:r>
    </w:p>
  </w:footnote>
  <w:footnote w:type="continuationSeparator" w:id="0">
    <w:p w14:paraId="42FA82C0" w14:textId="77777777" w:rsidR="00AA1379" w:rsidRDefault="00AA1379" w:rsidP="00290B64">
      <w:r>
        <w:continuationSeparator/>
      </w:r>
    </w:p>
  </w:footnote>
  <w:footnote w:id="1">
    <w:p w14:paraId="6E5E1A8E" w14:textId="7F2B76B0" w:rsidR="00542993" w:rsidRPr="00B01FE2" w:rsidRDefault="00542993">
      <w:pPr>
        <w:pStyle w:val="FootnoteText"/>
        <w:rPr>
          <w:lang w:val="es-ES_tradnl"/>
        </w:rPr>
      </w:pPr>
      <w:r>
        <w:rPr>
          <w:rStyle w:val="FootnoteReference"/>
        </w:rPr>
        <w:footnoteRef/>
      </w:r>
      <w:r>
        <w:t xml:space="preserve"> </w:t>
      </w:r>
      <w:r>
        <w:rPr>
          <w:lang w:val="es-ES_tradnl"/>
        </w:rPr>
        <w:t xml:space="preserve">Google Analytics uses JavaScript, which is not present, or blocked, in some computers. E.g. the estimation for these non-tracked cases in the US is around 3% of all Internet users. More information at: </w:t>
      </w:r>
      <w:r w:rsidRPr="00542993">
        <w:rPr>
          <w:lang w:val="es-ES_tradnl"/>
        </w:rPr>
        <w:t>en.wikipedia.org/</w:t>
      </w:r>
      <w:r>
        <w:rPr>
          <w:lang w:val="es-ES_tradnl"/>
        </w:rPr>
        <w:t>wiki/Google_Analytics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B44251" w14:textId="260B3CAD" w:rsidR="00AA1379" w:rsidRDefault="00AA1379">
    <w:pPr>
      <w:pStyle w:val="Header"/>
    </w:pPr>
    <w:r>
      <w:t>GAIN 2012 Summary of Changes</w:t>
    </w:r>
    <w:r>
      <w:tab/>
    </w:r>
    <w:r>
      <w:tab/>
    </w: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B01FE2">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B01FE2">
      <w:rPr>
        <w:rFonts w:ascii="Times New Roman" w:hAnsi="Times New Roman" w:cs="Times New Roman"/>
        <w:noProof/>
      </w:rPr>
      <w:t>2</w:t>
    </w:r>
    <w:r>
      <w:rPr>
        <w:rFonts w:ascii="Times New Roman" w:hAnsi="Times New Roman" w:cs="Times New Roman"/>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B5EDC"/>
    <w:multiLevelType w:val="multilevel"/>
    <w:tmpl w:val="B660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006113"/>
    <w:multiLevelType w:val="hybridMultilevel"/>
    <w:tmpl w:val="B4F0CE38"/>
    <w:lvl w:ilvl="0" w:tplc="93BE5D60">
      <w:start w:val="1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E16266"/>
    <w:multiLevelType w:val="hybridMultilevel"/>
    <w:tmpl w:val="47F25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275CB8"/>
    <w:multiLevelType w:val="hybridMultilevel"/>
    <w:tmpl w:val="933C0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741CDA"/>
    <w:multiLevelType w:val="hybridMultilevel"/>
    <w:tmpl w:val="24E49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2B7B3A"/>
    <w:multiLevelType w:val="hybridMultilevel"/>
    <w:tmpl w:val="73424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765BB1"/>
    <w:multiLevelType w:val="hybridMultilevel"/>
    <w:tmpl w:val="9E20D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BC3176"/>
    <w:multiLevelType w:val="hybridMultilevel"/>
    <w:tmpl w:val="8D7E9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680F77"/>
    <w:multiLevelType w:val="hybridMultilevel"/>
    <w:tmpl w:val="EE5AB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7"/>
  </w:num>
  <w:num w:numId="6">
    <w:abstractNumId w:val="4"/>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E06"/>
    <w:rsid w:val="0001329F"/>
    <w:rsid w:val="0003012B"/>
    <w:rsid w:val="00077F97"/>
    <w:rsid w:val="00092A34"/>
    <w:rsid w:val="000A5FAC"/>
    <w:rsid w:val="00102A38"/>
    <w:rsid w:val="00104C1E"/>
    <w:rsid w:val="001357D4"/>
    <w:rsid w:val="00137009"/>
    <w:rsid w:val="00162D59"/>
    <w:rsid w:val="00165FDD"/>
    <w:rsid w:val="001C7770"/>
    <w:rsid w:val="001D0992"/>
    <w:rsid w:val="001E338A"/>
    <w:rsid w:val="00202C11"/>
    <w:rsid w:val="0023059D"/>
    <w:rsid w:val="00247C1F"/>
    <w:rsid w:val="00261E0B"/>
    <w:rsid w:val="00290B64"/>
    <w:rsid w:val="002C3191"/>
    <w:rsid w:val="002C4B27"/>
    <w:rsid w:val="002C5596"/>
    <w:rsid w:val="002D3059"/>
    <w:rsid w:val="00304A82"/>
    <w:rsid w:val="00313618"/>
    <w:rsid w:val="00317D4F"/>
    <w:rsid w:val="00344B99"/>
    <w:rsid w:val="00351BDA"/>
    <w:rsid w:val="003659AB"/>
    <w:rsid w:val="00380CE9"/>
    <w:rsid w:val="003F3632"/>
    <w:rsid w:val="00403DC8"/>
    <w:rsid w:val="00426618"/>
    <w:rsid w:val="00442AF7"/>
    <w:rsid w:val="00457CFE"/>
    <w:rsid w:val="00461CDC"/>
    <w:rsid w:val="004A0AAC"/>
    <w:rsid w:val="004D5DFA"/>
    <w:rsid w:val="00517E63"/>
    <w:rsid w:val="0052417D"/>
    <w:rsid w:val="00537ACB"/>
    <w:rsid w:val="00542993"/>
    <w:rsid w:val="00543DC0"/>
    <w:rsid w:val="00561E06"/>
    <w:rsid w:val="00586CCA"/>
    <w:rsid w:val="005C7B5E"/>
    <w:rsid w:val="005E0B24"/>
    <w:rsid w:val="005F5FEE"/>
    <w:rsid w:val="00605F5F"/>
    <w:rsid w:val="00612AF9"/>
    <w:rsid w:val="006467EC"/>
    <w:rsid w:val="006728E0"/>
    <w:rsid w:val="00674AC3"/>
    <w:rsid w:val="006854D6"/>
    <w:rsid w:val="006A0441"/>
    <w:rsid w:val="006A4E50"/>
    <w:rsid w:val="006E57EF"/>
    <w:rsid w:val="00790356"/>
    <w:rsid w:val="007D3540"/>
    <w:rsid w:val="00804B0E"/>
    <w:rsid w:val="008108A4"/>
    <w:rsid w:val="00843BE4"/>
    <w:rsid w:val="0088034B"/>
    <w:rsid w:val="00880368"/>
    <w:rsid w:val="00894394"/>
    <w:rsid w:val="008A1566"/>
    <w:rsid w:val="008B4A7D"/>
    <w:rsid w:val="008E0EEC"/>
    <w:rsid w:val="00913FB4"/>
    <w:rsid w:val="00925AB9"/>
    <w:rsid w:val="00936ABF"/>
    <w:rsid w:val="009451CF"/>
    <w:rsid w:val="00951CC7"/>
    <w:rsid w:val="00957D61"/>
    <w:rsid w:val="009845F9"/>
    <w:rsid w:val="009C3B6C"/>
    <w:rsid w:val="009D570F"/>
    <w:rsid w:val="00A1756F"/>
    <w:rsid w:val="00A25964"/>
    <w:rsid w:val="00A40986"/>
    <w:rsid w:val="00A46FC2"/>
    <w:rsid w:val="00A80353"/>
    <w:rsid w:val="00AA1379"/>
    <w:rsid w:val="00AA2795"/>
    <w:rsid w:val="00AA6331"/>
    <w:rsid w:val="00AB1DEE"/>
    <w:rsid w:val="00AD77FF"/>
    <w:rsid w:val="00AF69A4"/>
    <w:rsid w:val="00B01FE2"/>
    <w:rsid w:val="00B06AD7"/>
    <w:rsid w:val="00B14299"/>
    <w:rsid w:val="00B31806"/>
    <w:rsid w:val="00B33859"/>
    <w:rsid w:val="00B50542"/>
    <w:rsid w:val="00C027EA"/>
    <w:rsid w:val="00C049B0"/>
    <w:rsid w:val="00C130D3"/>
    <w:rsid w:val="00C15141"/>
    <w:rsid w:val="00C32762"/>
    <w:rsid w:val="00C563A9"/>
    <w:rsid w:val="00C90793"/>
    <w:rsid w:val="00CC20B4"/>
    <w:rsid w:val="00CC3A5B"/>
    <w:rsid w:val="00CE5F8A"/>
    <w:rsid w:val="00D3115A"/>
    <w:rsid w:val="00D33C21"/>
    <w:rsid w:val="00DC5782"/>
    <w:rsid w:val="00E14F66"/>
    <w:rsid w:val="00E306F2"/>
    <w:rsid w:val="00E354B8"/>
    <w:rsid w:val="00E415F8"/>
    <w:rsid w:val="00E625D9"/>
    <w:rsid w:val="00E8049C"/>
    <w:rsid w:val="00EF42DC"/>
    <w:rsid w:val="00F01387"/>
    <w:rsid w:val="00F34925"/>
    <w:rsid w:val="00F46377"/>
    <w:rsid w:val="00FA7739"/>
    <w:rsid w:val="00FF6C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EFB1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57D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357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429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b">
    <w:name w:val="db"/>
    <w:basedOn w:val="DefaultParagraphFont"/>
    <w:rsid w:val="00951CC7"/>
  </w:style>
  <w:style w:type="character" w:customStyle="1" w:styleId="apple-converted-space">
    <w:name w:val="apple-converted-space"/>
    <w:basedOn w:val="DefaultParagraphFont"/>
    <w:rsid w:val="00951CC7"/>
  </w:style>
  <w:style w:type="character" w:customStyle="1" w:styleId="ha">
    <w:name w:val="ha"/>
    <w:basedOn w:val="DefaultParagraphFont"/>
    <w:rsid w:val="00951CC7"/>
  </w:style>
  <w:style w:type="character" w:customStyle="1" w:styleId="yx">
    <w:name w:val="yx"/>
    <w:basedOn w:val="DefaultParagraphFont"/>
    <w:rsid w:val="00102A38"/>
  </w:style>
  <w:style w:type="character" w:customStyle="1" w:styleId="gf">
    <w:name w:val="gf"/>
    <w:basedOn w:val="DefaultParagraphFont"/>
    <w:rsid w:val="00102A38"/>
  </w:style>
  <w:style w:type="character" w:customStyle="1" w:styleId="uz">
    <w:name w:val="uz"/>
    <w:basedOn w:val="DefaultParagraphFont"/>
    <w:rsid w:val="00102A38"/>
  </w:style>
  <w:style w:type="paragraph" w:styleId="BalloonText">
    <w:name w:val="Balloon Text"/>
    <w:basedOn w:val="Normal"/>
    <w:link w:val="BalloonTextChar"/>
    <w:uiPriority w:val="99"/>
    <w:semiHidden/>
    <w:unhideWhenUsed/>
    <w:rsid w:val="00102A38"/>
    <w:rPr>
      <w:rFonts w:ascii="Lucida Grande" w:hAnsi="Lucida Grande"/>
      <w:sz w:val="18"/>
      <w:szCs w:val="18"/>
    </w:rPr>
  </w:style>
  <w:style w:type="character" w:customStyle="1" w:styleId="BalloonTextChar">
    <w:name w:val="Balloon Text Char"/>
    <w:basedOn w:val="DefaultParagraphFont"/>
    <w:link w:val="BalloonText"/>
    <w:uiPriority w:val="99"/>
    <w:semiHidden/>
    <w:rsid w:val="00102A38"/>
    <w:rPr>
      <w:rFonts w:ascii="Lucida Grande" w:hAnsi="Lucida Grande"/>
      <w:sz w:val="18"/>
      <w:szCs w:val="18"/>
    </w:rPr>
  </w:style>
  <w:style w:type="character" w:customStyle="1" w:styleId="Heading2Char">
    <w:name w:val="Heading 2 Char"/>
    <w:basedOn w:val="DefaultParagraphFont"/>
    <w:link w:val="Heading2"/>
    <w:uiPriority w:val="9"/>
    <w:rsid w:val="001357D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357D4"/>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6E57EF"/>
  </w:style>
  <w:style w:type="paragraph" w:styleId="TOC2">
    <w:name w:val="toc 2"/>
    <w:basedOn w:val="Normal"/>
    <w:next w:val="Normal"/>
    <w:autoRedefine/>
    <w:uiPriority w:val="39"/>
    <w:unhideWhenUsed/>
    <w:rsid w:val="006E57EF"/>
    <w:pPr>
      <w:ind w:left="240"/>
    </w:pPr>
  </w:style>
  <w:style w:type="paragraph" w:styleId="TOC3">
    <w:name w:val="toc 3"/>
    <w:basedOn w:val="Normal"/>
    <w:next w:val="Normal"/>
    <w:autoRedefine/>
    <w:uiPriority w:val="39"/>
    <w:unhideWhenUsed/>
    <w:rsid w:val="006E57EF"/>
    <w:pPr>
      <w:ind w:left="480"/>
    </w:pPr>
  </w:style>
  <w:style w:type="paragraph" w:styleId="TOC4">
    <w:name w:val="toc 4"/>
    <w:basedOn w:val="Normal"/>
    <w:next w:val="Normal"/>
    <w:autoRedefine/>
    <w:uiPriority w:val="39"/>
    <w:unhideWhenUsed/>
    <w:rsid w:val="006E57EF"/>
    <w:pPr>
      <w:ind w:left="720"/>
    </w:pPr>
  </w:style>
  <w:style w:type="paragraph" w:styleId="TOC5">
    <w:name w:val="toc 5"/>
    <w:basedOn w:val="Normal"/>
    <w:next w:val="Normal"/>
    <w:autoRedefine/>
    <w:uiPriority w:val="39"/>
    <w:unhideWhenUsed/>
    <w:rsid w:val="006E57EF"/>
    <w:pPr>
      <w:ind w:left="960"/>
    </w:pPr>
  </w:style>
  <w:style w:type="paragraph" w:styleId="TOC6">
    <w:name w:val="toc 6"/>
    <w:basedOn w:val="Normal"/>
    <w:next w:val="Normal"/>
    <w:autoRedefine/>
    <w:uiPriority w:val="39"/>
    <w:unhideWhenUsed/>
    <w:rsid w:val="006E57EF"/>
    <w:pPr>
      <w:ind w:left="1200"/>
    </w:pPr>
  </w:style>
  <w:style w:type="paragraph" w:styleId="TOC7">
    <w:name w:val="toc 7"/>
    <w:basedOn w:val="Normal"/>
    <w:next w:val="Normal"/>
    <w:autoRedefine/>
    <w:uiPriority w:val="39"/>
    <w:unhideWhenUsed/>
    <w:rsid w:val="006E57EF"/>
    <w:pPr>
      <w:ind w:left="1440"/>
    </w:pPr>
  </w:style>
  <w:style w:type="paragraph" w:styleId="TOC8">
    <w:name w:val="toc 8"/>
    <w:basedOn w:val="Normal"/>
    <w:next w:val="Normal"/>
    <w:autoRedefine/>
    <w:uiPriority w:val="39"/>
    <w:unhideWhenUsed/>
    <w:rsid w:val="006E57EF"/>
    <w:pPr>
      <w:ind w:left="1680"/>
    </w:pPr>
  </w:style>
  <w:style w:type="paragraph" w:styleId="TOC9">
    <w:name w:val="toc 9"/>
    <w:basedOn w:val="Normal"/>
    <w:next w:val="Normal"/>
    <w:autoRedefine/>
    <w:uiPriority w:val="39"/>
    <w:unhideWhenUsed/>
    <w:rsid w:val="006E57EF"/>
    <w:pPr>
      <w:ind w:left="1920"/>
    </w:pPr>
  </w:style>
  <w:style w:type="character" w:styleId="Hyperlink">
    <w:name w:val="Hyperlink"/>
    <w:basedOn w:val="DefaultParagraphFont"/>
    <w:uiPriority w:val="99"/>
    <w:unhideWhenUsed/>
    <w:rsid w:val="00AA6331"/>
    <w:rPr>
      <w:color w:val="0000FF" w:themeColor="hyperlink"/>
      <w:u w:val="single"/>
    </w:rPr>
  </w:style>
  <w:style w:type="character" w:customStyle="1" w:styleId="Heading3Char">
    <w:name w:val="Heading 3 Char"/>
    <w:basedOn w:val="DefaultParagraphFont"/>
    <w:link w:val="Heading3"/>
    <w:uiPriority w:val="9"/>
    <w:rsid w:val="00B1429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57D61"/>
    <w:pPr>
      <w:ind w:left="720"/>
      <w:contextualSpacing/>
    </w:pPr>
  </w:style>
  <w:style w:type="character" w:styleId="CommentReference">
    <w:name w:val="annotation reference"/>
    <w:basedOn w:val="DefaultParagraphFont"/>
    <w:uiPriority w:val="99"/>
    <w:semiHidden/>
    <w:unhideWhenUsed/>
    <w:rsid w:val="002D3059"/>
    <w:rPr>
      <w:sz w:val="18"/>
      <w:szCs w:val="18"/>
    </w:rPr>
  </w:style>
  <w:style w:type="paragraph" w:styleId="CommentText">
    <w:name w:val="annotation text"/>
    <w:basedOn w:val="Normal"/>
    <w:link w:val="CommentTextChar"/>
    <w:uiPriority w:val="99"/>
    <w:semiHidden/>
    <w:unhideWhenUsed/>
    <w:rsid w:val="002D3059"/>
  </w:style>
  <w:style w:type="character" w:customStyle="1" w:styleId="CommentTextChar">
    <w:name w:val="Comment Text Char"/>
    <w:basedOn w:val="DefaultParagraphFont"/>
    <w:link w:val="CommentText"/>
    <w:uiPriority w:val="99"/>
    <w:semiHidden/>
    <w:rsid w:val="002D3059"/>
  </w:style>
  <w:style w:type="paragraph" w:styleId="CommentSubject">
    <w:name w:val="annotation subject"/>
    <w:basedOn w:val="CommentText"/>
    <w:next w:val="CommentText"/>
    <w:link w:val="CommentSubjectChar"/>
    <w:uiPriority w:val="99"/>
    <w:semiHidden/>
    <w:unhideWhenUsed/>
    <w:rsid w:val="002D3059"/>
    <w:rPr>
      <w:b/>
      <w:bCs/>
      <w:sz w:val="20"/>
      <w:szCs w:val="20"/>
    </w:rPr>
  </w:style>
  <w:style w:type="character" w:customStyle="1" w:styleId="CommentSubjectChar">
    <w:name w:val="Comment Subject Char"/>
    <w:basedOn w:val="CommentTextChar"/>
    <w:link w:val="CommentSubject"/>
    <w:uiPriority w:val="99"/>
    <w:semiHidden/>
    <w:rsid w:val="002D3059"/>
    <w:rPr>
      <w:b/>
      <w:bCs/>
      <w:sz w:val="20"/>
      <w:szCs w:val="20"/>
    </w:rPr>
  </w:style>
  <w:style w:type="character" w:styleId="FollowedHyperlink">
    <w:name w:val="FollowedHyperlink"/>
    <w:basedOn w:val="DefaultParagraphFont"/>
    <w:uiPriority w:val="99"/>
    <w:semiHidden/>
    <w:unhideWhenUsed/>
    <w:rsid w:val="00C049B0"/>
    <w:rPr>
      <w:color w:val="800080" w:themeColor="followedHyperlink"/>
      <w:u w:val="single"/>
    </w:rPr>
  </w:style>
  <w:style w:type="paragraph" w:styleId="Header">
    <w:name w:val="header"/>
    <w:basedOn w:val="Normal"/>
    <w:link w:val="HeaderChar"/>
    <w:uiPriority w:val="99"/>
    <w:unhideWhenUsed/>
    <w:rsid w:val="00290B64"/>
    <w:pPr>
      <w:tabs>
        <w:tab w:val="center" w:pos="4320"/>
        <w:tab w:val="right" w:pos="8640"/>
      </w:tabs>
    </w:pPr>
  </w:style>
  <w:style w:type="character" w:customStyle="1" w:styleId="HeaderChar">
    <w:name w:val="Header Char"/>
    <w:basedOn w:val="DefaultParagraphFont"/>
    <w:link w:val="Header"/>
    <w:uiPriority w:val="99"/>
    <w:rsid w:val="00290B64"/>
  </w:style>
  <w:style w:type="paragraph" w:styleId="Footer">
    <w:name w:val="footer"/>
    <w:basedOn w:val="Normal"/>
    <w:link w:val="FooterChar"/>
    <w:uiPriority w:val="99"/>
    <w:unhideWhenUsed/>
    <w:rsid w:val="00290B64"/>
    <w:pPr>
      <w:tabs>
        <w:tab w:val="center" w:pos="4320"/>
        <w:tab w:val="right" w:pos="8640"/>
      </w:tabs>
    </w:pPr>
  </w:style>
  <w:style w:type="character" w:customStyle="1" w:styleId="FooterChar">
    <w:name w:val="Footer Char"/>
    <w:basedOn w:val="DefaultParagraphFont"/>
    <w:link w:val="Footer"/>
    <w:uiPriority w:val="99"/>
    <w:rsid w:val="00290B64"/>
  </w:style>
  <w:style w:type="paragraph" w:styleId="Caption">
    <w:name w:val="caption"/>
    <w:basedOn w:val="Normal"/>
    <w:next w:val="Normal"/>
    <w:uiPriority w:val="35"/>
    <w:unhideWhenUsed/>
    <w:qFormat/>
    <w:rsid w:val="00F01387"/>
    <w:pPr>
      <w:spacing w:after="200"/>
    </w:pPr>
    <w:rPr>
      <w:b/>
      <w:bCs/>
      <w:color w:val="4F81BD" w:themeColor="accent1"/>
      <w:sz w:val="18"/>
      <w:szCs w:val="18"/>
    </w:rPr>
  </w:style>
  <w:style w:type="paragraph" w:styleId="NormalWeb">
    <w:name w:val="Normal (Web)"/>
    <w:basedOn w:val="Normal"/>
    <w:uiPriority w:val="99"/>
    <w:unhideWhenUsed/>
    <w:rsid w:val="00077F97"/>
    <w:pPr>
      <w:spacing w:before="100" w:beforeAutospacing="1" w:after="100" w:afterAutospacing="1"/>
    </w:pPr>
    <w:rPr>
      <w:rFonts w:ascii="Times" w:hAnsi="Times" w:cs="Times New Roman"/>
      <w:sz w:val="20"/>
      <w:szCs w:val="20"/>
    </w:rPr>
  </w:style>
  <w:style w:type="paragraph" w:styleId="FootnoteText">
    <w:name w:val="footnote text"/>
    <w:basedOn w:val="Normal"/>
    <w:link w:val="FootnoteTextChar"/>
    <w:uiPriority w:val="99"/>
    <w:unhideWhenUsed/>
    <w:rsid w:val="00542993"/>
  </w:style>
  <w:style w:type="character" w:customStyle="1" w:styleId="FootnoteTextChar">
    <w:name w:val="Footnote Text Char"/>
    <w:basedOn w:val="DefaultParagraphFont"/>
    <w:link w:val="FootnoteText"/>
    <w:uiPriority w:val="99"/>
    <w:rsid w:val="00542993"/>
  </w:style>
  <w:style w:type="character" w:styleId="FootnoteReference">
    <w:name w:val="footnote reference"/>
    <w:basedOn w:val="DefaultParagraphFont"/>
    <w:uiPriority w:val="99"/>
    <w:unhideWhenUsed/>
    <w:rsid w:val="00542993"/>
    <w:rPr>
      <w:vertAlign w:val="superscript"/>
    </w:rPr>
  </w:style>
  <w:style w:type="paragraph" w:styleId="Revision">
    <w:name w:val="Revision"/>
    <w:hidden/>
    <w:uiPriority w:val="99"/>
    <w:semiHidden/>
    <w:rsid w:val="00AD77F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57D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357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429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b">
    <w:name w:val="db"/>
    <w:basedOn w:val="DefaultParagraphFont"/>
    <w:rsid w:val="00951CC7"/>
  </w:style>
  <w:style w:type="character" w:customStyle="1" w:styleId="apple-converted-space">
    <w:name w:val="apple-converted-space"/>
    <w:basedOn w:val="DefaultParagraphFont"/>
    <w:rsid w:val="00951CC7"/>
  </w:style>
  <w:style w:type="character" w:customStyle="1" w:styleId="ha">
    <w:name w:val="ha"/>
    <w:basedOn w:val="DefaultParagraphFont"/>
    <w:rsid w:val="00951CC7"/>
  </w:style>
  <w:style w:type="character" w:customStyle="1" w:styleId="yx">
    <w:name w:val="yx"/>
    <w:basedOn w:val="DefaultParagraphFont"/>
    <w:rsid w:val="00102A38"/>
  </w:style>
  <w:style w:type="character" w:customStyle="1" w:styleId="gf">
    <w:name w:val="gf"/>
    <w:basedOn w:val="DefaultParagraphFont"/>
    <w:rsid w:val="00102A38"/>
  </w:style>
  <w:style w:type="character" w:customStyle="1" w:styleId="uz">
    <w:name w:val="uz"/>
    <w:basedOn w:val="DefaultParagraphFont"/>
    <w:rsid w:val="00102A38"/>
  </w:style>
  <w:style w:type="paragraph" w:styleId="BalloonText">
    <w:name w:val="Balloon Text"/>
    <w:basedOn w:val="Normal"/>
    <w:link w:val="BalloonTextChar"/>
    <w:uiPriority w:val="99"/>
    <w:semiHidden/>
    <w:unhideWhenUsed/>
    <w:rsid w:val="00102A38"/>
    <w:rPr>
      <w:rFonts w:ascii="Lucida Grande" w:hAnsi="Lucida Grande"/>
      <w:sz w:val="18"/>
      <w:szCs w:val="18"/>
    </w:rPr>
  </w:style>
  <w:style w:type="character" w:customStyle="1" w:styleId="BalloonTextChar">
    <w:name w:val="Balloon Text Char"/>
    <w:basedOn w:val="DefaultParagraphFont"/>
    <w:link w:val="BalloonText"/>
    <w:uiPriority w:val="99"/>
    <w:semiHidden/>
    <w:rsid w:val="00102A38"/>
    <w:rPr>
      <w:rFonts w:ascii="Lucida Grande" w:hAnsi="Lucida Grande"/>
      <w:sz w:val="18"/>
      <w:szCs w:val="18"/>
    </w:rPr>
  </w:style>
  <w:style w:type="character" w:customStyle="1" w:styleId="Heading2Char">
    <w:name w:val="Heading 2 Char"/>
    <w:basedOn w:val="DefaultParagraphFont"/>
    <w:link w:val="Heading2"/>
    <w:uiPriority w:val="9"/>
    <w:rsid w:val="001357D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357D4"/>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6E57EF"/>
  </w:style>
  <w:style w:type="paragraph" w:styleId="TOC2">
    <w:name w:val="toc 2"/>
    <w:basedOn w:val="Normal"/>
    <w:next w:val="Normal"/>
    <w:autoRedefine/>
    <w:uiPriority w:val="39"/>
    <w:unhideWhenUsed/>
    <w:rsid w:val="006E57EF"/>
    <w:pPr>
      <w:ind w:left="240"/>
    </w:pPr>
  </w:style>
  <w:style w:type="paragraph" w:styleId="TOC3">
    <w:name w:val="toc 3"/>
    <w:basedOn w:val="Normal"/>
    <w:next w:val="Normal"/>
    <w:autoRedefine/>
    <w:uiPriority w:val="39"/>
    <w:unhideWhenUsed/>
    <w:rsid w:val="006E57EF"/>
    <w:pPr>
      <w:ind w:left="480"/>
    </w:pPr>
  </w:style>
  <w:style w:type="paragraph" w:styleId="TOC4">
    <w:name w:val="toc 4"/>
    <w:basedOn w:val="Normal"/>
    <w:next w:val="Normal"/>
    <w:autoRedefine/>
    <w:uiPriority w:val="39"/>
    <w:unhideWhenUsed/>
    <w:rsid w:val="006E57EF"/>
    <w:pPr>
      <w:ind w:left="720"/>
    </w:pPr>
  </w:style>
  <w:style w:type="paragraph" w:styleId="TOC5">
    <w:name w:val="toc 5"/>
    <w:basedOn w:val="Normal"/>
    <w:next w:val="Normal"/>
    <w:autoRedefine/>
    <w:uiPriority w:val="39"/>
    <w:unhideWhenUsed/>
    <w:rsid w:val="006E57EF"/>
    <w:pPr>
      <w:ind w:left="960"/>
    </w:pPr>
  </w:style>
  <w:style w:type="paragraph" w:styleId="TOC6">
    <w:name w:val="toc 6"/>
    <w:basedOn w:val="Normal"/>
    <w:next w:val="Normal"/>
    <w:autoRedefine/>
    <w:uiPriority w:val="39"/>
    <w:unhideWhenUsed/>
    <w:rsid w:val="006E57EF"/>
    <w:pPr>
      <w:ind w:left="1200"/>
    </w:pPr>
  </w:style>
  <w:style w:type="paragraph" w:styleId="TOC7">
    <w:name w:val="toc 7"/>
    <w:basedOn w:val="Normal"/>
    <w:next w:val="Normal"/>
    <w:autoRedefine/>
    <w:uiPriority w:val="39"/>
    <w:unhideWhenUsed/>
    <w:rsid w:val="006E57EF"/>
    <w:pPr>
      <w:ind w:left="1440"/>
    </w:pPr>
  </w:style>
  <w:style w:type="paragraph" w:styleId="TOC8">
    <w:name w:val="toc 8"/>
    <w:basedOn w:val="Normal"/>
    <w:next w:val="Normal"/>
    <w:autoRedefine/>
    <w:uiPriority w:val="39"/>
    <w:unhideWhenUsed/>
    <w:rsid w:val="006E57EF"/>
    <w:pPr>
      <w:ind w:left="1680"/>
    </w:pPr>
  </w:style>
  <w:style w:type="paragraph" w:styleId="TOC9">
    <w:name w:val="toc 9"/>
    <w:basedOn w:val="Normal"/>
    <w:next w:val="Normal"/>
    <w:autoRedefine/>
    <w:uiPriority w:val="39"/>
    <w:unhideWhenUsed/>
    <w:rsid w:val="006E57EF"/>
    <w:pPr>
      <w:ind w:left="1920"/>
    </w:pPr>
  </w:style>
  <w:style w:type="character" w:styleId="Hyperlink">
    <w:name w:val="Hyperlink"/>
    <w:basedOn w:val="DefaultParagraphFont"/>
    <w:uiPriority w:val="99"/>
    <w:unhideWhenUsed/>
    <w:rsid w:val="00AA6331"/>
    <w:rPr>
      <w:color w:val="0000FF" w:themeColor="hyperlink"/>
      <w:u w:val="single"/>
    </w:rPr>
  </w:style>
  <w:style w:type="character" w:customStyle="1" w:styleId="Heading3Char">
    <w:name w:val="Heading 3 Char"/>
    <w:basedOn w:val="DefaultParagraphFont"/>
    <w:link w:val="Heading3"/>
    <w:uiPriority w:val="9"/>
    <w:rsid w:val="00B1429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57D61"/>
    <w:pPr>
      <w:ind w:left="720"/>
      <w:contextualSpacing/>
    </w:pPr>
  </w:style>
  <w:style w:type="character" w:styleId="CommentReference">
    <w:name w:val="annotation reference"/>
    <w:basedOn w:val="DefaultParagraphFont"/>
    <w:uiPriority w:val="99"/>
    <w:semiHidden/>
    <w:unhideWhenUsed/>
    <w:rsid w:val="002D3059"/>
    <w:rPr>
      <w:sz w:val="18"/>
      <w:szCs w:val="18"/>
    </w:rPr>
  </w:style>
  <w:style w:type="paragraph" w:styleId="CommentText">
    <w:name w:val="annotation text"/>
    <w:basedOn w:val="Normal"/>
    <w:link w:val="CommentTextChar"/>
    <w:uiPriority w:val="99"/>
    <w:semiHidden/>
    <w:unhideWhenUsed/>
    <w:rsid w:val="002D3059"/>
  </w:style>
  <w:style w:type="character" w:customStyle="1" w:styleId="CommentTextChar">
    <w:name w:val="Comment Text Char"/>
    <w:basedOn w:val="DefaultParagraphFont"/>
    <w:link w:val="CommentText"/>
    <w:uiPriority w:val="99"/>
    <w:semiHidden/>
    <w:rsid w:val="002D3059"/>
  </w:style>
  <w:style w:type="paragraph" w:styleId="CommentSubject">
    <w:name w:val="annotation subject"/>
    <w:basedOn w:val="CommentText"/>
    <w:next w:val="CommentText"/>
    <w:link w:val="CommentSubjectChar"/>
    <w:uiPriority w:val="99"/>
    <w:semiHidden/>
    <w:unhideWhenUsed/>
    <w:rsid w:val="002D3059"/>
    <w:rPr>
      <w:b/>
      <w:bCs/>
      <w:sz w:val="20"/>
      <w:szCs w:val="20"/>
    </w:rPr>
  </w:style>
  <w:style w:type="character" w:customStyle="1" w:styleId="CommentSubjectChar">
    <w:name w:val="Comment Subject Char"/>
    <w:basedOn w:val="CommentTextChar"/>
    <w:link w:val="CommentSubject"/>
    <w:uiPriority w:val="99"/>
    <w:semiHidden/>
    <w:rsid w:val="002D3059"/>
    <w:rPr>
      <w:b/>
      <w:bCs/>
      <w:sz w:val="20"/>
      <w:szCs w:val="20"/>
    </w:rPr>
  </w:style>
  <w:style w:type="character" w:styleId="FollowedHyperlink">
    <w:name w:val="FollowedHyperlink"/>
    <w:basedOn w:val="DefaultParagraphFont"/>
    <w:uiPriority w:val="99"/>
    <w:semiHidden/>
    <w:unhideWhenUsed/>
    <w:rsid w:val="00C049B0"/>
    <w:rPr>
      <w:color w:val="800080" w:themeColor="followedHyperlink"/>
      <w:u w:val="single"/>
    </w:rPr>
  </w:style>
  <w:style w:type="paragraph" w:styleId="Header">
    <w:name w:val="header"/>
    <w:basedOn w:val="Normal"/>
    <w:link w:val="HeaderChar"/>
    <w:uiPriority w:val="99"/>
    <w:unhideWhenUsed/>
    <w:rsid w:val="00290B64"/>
    <w:pPr>
      <w:tabs>
        <w:tab w:val="center" w:pos="4320"/>
        <w:tab w:val="right" w:pos="8640"/>
      </w:tabs>
    </w:pPr>
  </w:style>
  <w:style w:type="character" w:customStyle="1" w:styleId="HeaderChar">
    <w:name w:val="Header Char"/>
    <w:basedOn w:val="DefaultParagraphFont"/>
    <w:link w:val="Header"/>
    <w:uiPriority w:val="99"/>
    <w:rsid w:val="00290B64"/>
  </w:style>
  <w:style w:type="paragraph" w:styleId="Footer">
    <w:name w:val="footer"/>
    <w:basedOn w:val="Normal"/>
    <w:link w:val="FooterChar"/>
    <w:uiPriority w:val="99"/>
    <w:unhideWhenUsed/>
    <w:rsid w:val="00290B64"/>
    <w:pPr>
      <w:tabs>
        <w:tab w:val="center" w:pos="4320"/>
        <w:tab w:val="right" w:pos="8640"/>
      </w:tabs>
    </w:pPr>
  </w:style>
  <w:style w:type="character" w:customStyle="1" w:styleId="FooterChar">
    <w:name w:val="Footer Char"/>
    <w:basedOn w:val="DefaultParagraphFont"/>
    <w:link w:val="Footer"/>
    <w:uiPriority w:val="99"/>
    <w:rsid w:val="00290B64"/>
  </w:style>
  <w:style w:type="paragraph" w:styleId="Caption">
    <w:name w:val="caption"/>
    <w:basedOn w:val="Normal"/>
    <w:next w:val="Normal"/>
    <w:uiPriority w:val="35"/>
    <w:unhideWhenUsed/>
    <w:qFormat/>
    <w:rsid w:val="00F01387"/>
    <w:pPr>
      <w:spacing w:after="200"/>
    </w:pPr>
    <w:rPr>
      <w:b/>
      <w:bCs/>
      <w:color w:val="4F81BD" w:themeColor="accent1"/>
      <w:sz w:val="18"/>
      <w:szCs w:val="18"/>
    </w:rPr>
  </w:style>
  <w:style w:type="paragraph" w:styleId="NormalWeb">
    <w:name w:val="Normal (Web)"/>
    <w:basedOn w:val="Normal"/>
    <w:uiPriority w:val="99"/>
    <w:unhideWhenUsed/>
    <w:rsid w:val="00077F97"/>
    <w:pPr>
      <w:spacing w:before="100" w:beforeAutospacing="1" w:after="100" w:afterAutospacing="1"/>
    </w:pPr>
    <w:rPr>
      <w:rFonts w:ascii="Times" w:hAnsi="Times" w:cs="Times New Roman"/>
      <w:sz w:val="20"/>
      <w:szCs w:val="20"/>
    </w:rPr>
  </w:style>
  <w:style w:type="paragraph" w:styleId="FootnoteText">
    <w:name w:val="footnote text"/>
    <w:basedOn w:val="Normal"/>
    <w:link w:val="FootnoteTextChar"/>
    <w:uiPriority w:val="99"/>
    <w:unhideWhenUsed/>
    <w:rsid w:val="00542993"/>
  </w:style>
  <w:style w:type="character" w:customStyle="1" w:styleId="FootnoteTextChar">
    <w:name w:val="Footnote Text Char"/>
    <w:basedOn w:val="DefaultParagraphFont"/>
    <w:link w:val="FootnoteText"/>
    <w:uiPriority w:val="99"/>
    <w:rsid w:val="00542993"/>
  </w:style>
  <w:style w:type="character" w:styleId="FootnoteReference">
    <w:name w:val="footnote reference"/>
    <w:basedOn w:val="DefaultParagraphFont"/>
    <w:uiPriority w:val="99"/>
    <w:unhideWhenUsed/>
    <w:rsid w:val="00542993"/>
    <w:rPr>
      <w:vertAlign w:val="superscript"/>
    </w:rPr>
  </w:style>
  <w:style w:type="paragraph" w:styleId="Revision">
    <w:name w:val="Revision"/>
    <w:hidden/>
    <w:uiPriority w:val="99"/>
    <w:semiHidden/>
    <w:rsid w:val="00AD7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40136">
      <w:bodyDiv w:val="1"/>
      <w:marLeft w:val="0"/>
      <w:marRight w:val="0"/>
      <w:marTop w:val="0"/>
      <w:marBottom w:val="0"/>
      <w:divBdr>
        <w:top w:val="none" w:sz="0" w:space="0" w:color="auto"/>
        <w:left w:val="none" w:sz="0" w:space="0" w:color="auto"/>
        <w:bottom w:val="none" w:sz="0" w:space="0" w:color="auto"/>
        <w:right w:val="none" w:sz="0" w:space="0" w:color="auto"/>
      </w:divBdr>
    </w:div>
    <w:div w:id="171723847">
      <w:bodyDiv w:val="1"/>
      <w:marLeft w:val="0"/>
      <w:marRight w:val="0"/>
      <w:marTop w:val="0"/>
      <w:marBottom w:val="0"/>
      <w:divBdr>
        <w:top w:val="none" w:sz="0" w:space="0" w:color="auto"/>
        <w:left w:val="none" w:sz="0" w:space="0" w:color="auto"/>
        <w:bottom w:val="none" w:sz="0" w:space="0" w:color="auto"/>
        <w:right w:val="none" w:sz="0" w:space="0" w:color="auto"/>
      </w:divBdr>
    </w:div>
    <w:div w:id="287325008">
      <w:bodyDiv w:val="1"/>
      <w:marLeft w:val="0"/>
      <w:marRight w:val="0"/>
      <w:marTop w:val="0"/>
      <w:marBottom w:val="0"/>
      <w:divBdr>
        <w:top w:val="none" w:sz="0" w:space="0" w:color="auto"/>
        <w:left w:val="none" w:sz="0" w:space="0" w:color="auto"/>
        <w:bottom w:val="none" w:sz="0" w:space="0" w:color="auto"/>
        <w:right w:val="none" w:sz="0" w:space="0" w:color="auto"/>
      </w:divBdr>
    </w:div>
    <w:div w:id="333580095">
      <w:bodyDiv w:val="1"/>
      <w:marLeft w:val="0"/>
      <w:marRight w:val="0"/>
      <w:marTop w:val="0"/>
      <w:marBottom w:val="0"/>
      <w:divBdr>
        <w:top w:val="none" w:sz="0" w:space="0" w:color="auto"/>
        <w:left w:val="none" w:sz="0" w:space="0" w:color="auto"/>
        <w:bottom w:val="none" w:sz="0" w:space="0" w:color="auto"/>
        <w:right w:val="none" w:sz="0" w:space="0" w:color="auto"/>
      </w:divBdr>
      <w:divsChild>
        <w:div w:id="1695493527">
          <w:marLeft w:val="0"/>
          <w:marRight w:val="0"/>
          <w:marTop w:val="0"/>
          <w:marBottom w:val="0"/>
          <w:divBdr>
            <w:top w:val="none" w:sz="0" w:space="0" w:color="auto"/>
            <w:left w:val="none" w:sz="0" w:space="0" w:color="auto"/>
            <w:bottom w:val="none" w:sz="0" w:space="0" w:color="auto"/>
            <w:right w:val="none" w:sz="0" w:space="0" w:color="auto"/>
          </w:divBdr>
        </w:div>
        <w:div w:id="454761016">
          <w:marLeft w:val="255"/>
          <w:marRight w:val="0"/>
          <w:marTop w:val="195"/>
          <w:marBottom w:val="195"/>
          <w:divBdr>
            <w:top w:val="none" w:sz="0" w:space="0" w:color="auto"/>
            <w:left w:val="none" w:sz="0" w:space="0" w:color="auto"/>
            <w:bottom w:val="none" w:sz="0" w:space="0" w:color="auto"/>
            <w:right w:val="none" w:sz="0" w:space="0" w:color="auto"/>
          </w:divBdr>
        </w:div>
        <w:div w:id="1466390778">
          <w:marLeft w:val="255"/>
          <w:marRight w:val="0"/>
          <w:marTop w:val="195"/>
          <w:marBottom w:val="195"/>
          <w:divBdr>
            <w:top w:val="none" w:sz="0" w:space="0" w:color="auto"/>
            <w:left w:val="none" w:sz="0" w:space="0" w:color="auto"/>
            <w:bottom w:val="none" w:sz="0" w:space="0" w:color="auto"/>
            <w:right w:val="none" w:sz="0" w:space="0" w:color="auto"/>
          </w:divBdr>
        </w:div>
        <w:div w:id="370425167">
          <w:marLeft w:val="255"/>
          <w:marRight w:val="0"/>
          <w:marTop w:val="195"/>
          <w:marBottom w:val="195"/>
          <w:divBdr>
            <w:top w:val="none" w:sz="0" w:space="0" w:color="auto"/>
            <w:left w:val="none" w:sz="0" w:space="0" w:color="auto"/>
            <w:bottom w:val="none" w:sz="0" w:space="0" w:color="auto"/>
            <w:right w:val="none" w:sz="0" w:space="0" w:color="auto"/>
          </w:divBdr>
        </w:div>
        <w:div w:id="585962441">
          <w:marLeft w:val="255"/>
          <w:marRight w:val="0"/>
          <w:marTop w:val="195"/>
          <w:marBottom w:val="195"/>
          <w:divBdr>
            <w:top w:val="none" w:sz="0" w:space="0" w:color="auto"/>
            <w:left w:val="none" w:sz="0" w:space="0" w:color="auto"/>
            <w:bottom w:val="none" w:sz="0" w:space="0" w:color="auto"/>
            <w:right w:val="none" w:sz="0" w:space="0" w:color="auto"/>
          </w:divBdr>
        </w:div>
      </w:divsChild>
    </w:div>
    <w:div w:id="622613597">
      <w:bodyDiv w:val="1"/>
      <w:marLeft w:val="0"/>
      <w:marRight w:val="0"/>
      <w:marTop w:val="0"/>
      <w:marBottom w:val="0"/>
      <w:divBdr>
        <w:top w:val="none" w:sz="0" w:space="0" w:color="auto"/>
        <w:left w:val="none" w:sz="0" w:space="0" w:color="auto"/>
        <w:bottom w:val="none" w:sz="0" w:space="0" w:color="auto"/>
        <w:right w:val="none" w:sz="0" w:space="0" w:color="auto"/>
      </w:divBdr>
    </w:div>
    <w:div w:id="830675610">
      <w:bodyDiv w:val="1"/>
      <w:marLeft w:val="0"/>
      <w:marRight w:val="0"/>
      <w:marTop w:val="0"/>
      <w:marBottom w:val="0"/>
      <w:divBdr>
        <w:top w:val="none" w:sz="0" w:space="0" w:color="auto"/>
        <w:left w:val="none" w:sz="0" w:space="0" w:color="auto"/>
        <w:bottom w:val="none" w:sz="0" w:space="0" w:color="auto"/>
        <w:right w:val="none" w:sz="0" w:space="0" w:color="auto"/>
      </w:divBdr>
    </w:div>
    <w:div w:id="911965134">
      <w:bodyDiv w:val="1"/>
      <w:marLeft w:val="0"/>
      <w:marRight w:val="0"/>
      <w:marTop w:val="0"/>
      <w:marBottom w:val="0"/>
      <w:divBdr>
        <w:top w:val="none" w:sz="0" w:space="0" w:color="auto"/>
        <w:left w:val="none" w:sz="0" w:space="0" w:color="auto"/>
        <w:bottom w:val="none" w:sz="0" w:space="0" w:color="auto"/>
        <w:right w:val="none" w:sz="0" w:space="0" w:color="auto"/>
      </w:divBdr>
    </w:div>
    <w:div w:id="1043947540">
      <w:bodyDiv w:val="1"/>
      <w:marLeft w:val="0"/>
      <w:marRight w:val="0"/>
      <w:marTop w:val="0"/>
      <w:marBottom w:val="0"/>
      <w:divBdr>
        <w:top w:val="none" w:sz="0" w:space="0" w:color="auto"/>
        <w:left w:val="none" w:sz="0" w:space="0" w:color="auto"/>
        <w:bottom w:val="none" w:sz="0" w:space="0" w:color="auto"/>
        <w:right w:val="none" w:sz="0" w:space="0" w:color="auto"/>
      </w:divBdr>
    </w:div>
    <w:div w:id="1360620672">
      <w:bodyDiv w:val="1"/>
      <w:marLeft w:val="0"/>
      <w:marRight w:val="0"/>
      <w:marTop w:val="0"/>
      <w:marBottom w:val="0"/>
      <w:divBdr>
        <w:top w:val="none" w:sz="0" w:space="0" w:color="auto"/>
        <w:left w:val="none" w:sz="0" w:space="0" w:color="auto"/>
        <w:bottom w:val="none" w:sz="0" w:space="0" w:color="auto"/>
        <w:right w:val="none" w:sz="0" w:space="0" w:color="auto"/>
      </w:divBdr>
    </w:div>
    <w:div w:id="1525634221">
      <w:bodyDiv w:val="1"/>
      <w:marLeft w:val="0"/>
      <w:marRight w:val="0"/>
      <w:marTop w:val="0"/>
      <w:marBottom w:val="0"/>
      <w:divBdr>
        <w:top w:val="none" w:sz="0" w:space="0" w:color="auto"/>
        <w:left w:val="none" w:sz="0" w:space="0" w:color="auto"/>
        <w:bottom w:val="none" w:sz="0" w:space="0" w:color="auto"/>
        <w:right w:val="none" w:sz="0" w:space="0" w:color="auto"/>
      </w:divBdr>
    </w:div>
    <w:div w:id="1534345730">
      <w:bodyDiv w:val="1"/>
      <w:marLeft w:val="0"/>
      <w:marRight w:val="0"/>
      <w:marTop w:val="0"/>
      <w:marBottom w:val="0"/>
      <w:divBdr>
        <w:top w:val="none" w:sz="0" w:space="0" w:color="auto"/>
        <w:left w:val="none" w:sz="0" w:space="0" w:color="auto"/>
        <w:bottom w:val="none" w:sz="0" w:space="0" w:color="auto"/>
        <w:right w:val="none" w:sz="0" w:space="0" w:color="auto"/>
      </w:divBdr>
    </w:div>
    <w:div w:id="1556963395">
      <w:bodyDiv w:val="1"/>
      <w:marLeft w:val="0"/>
      <w:marRight w:val="0"/>
      <w:marTop w:val="0"/>
      <w:marBottom w:val="0"/>
      <w:divBdr>
        <w:top w:val="none" w:sz="0" w:space="0" w:color="auto"/>
        <w:left w:val="none" w:sz="0" w:space="0" w:color="auto"/>
        <w:bottom w:val="none" w:sz="0" w:space="0" w:color="auto"/>
        <w:right w:val="none" w:sz="0" w:space="0" w:color="auto"/>
      </w:divBdr>
    </w:div>
    <w:div w:id="1667443076">
      <w:bodyDiv w:val="1"/>
      <w:marLeft w:val="0"/>
      <w:marRight w:val="0"/>
      <w:marTop w:val="0"/>
      <w:marBottom w:val="0"/>
      <w:divBdr>
        <w:top w:val="none" w:sz="0" w:space="0" w:color="auto"/>
        <w:left w:val="none" w:sz="0" w:space="0" w:color="auto"/>
        <w:bottom w:val="none" w:sz="0" w:space="0" w:color="auto"/>
        <w:right w:val="none" w:sz="0" w:space="0" w:color="auto"/>
      </w:divBdr>
      <w:divsChild>
        <w:div w:id="1770612696">
          <w:marLeft w:val="0"/>
          <w:marRight w:val="300"/>
          <w:marTop w:val="0"/>
          <w:marBottom w:val="150"/>
          <w:divBdr>
            <w:top w:val="none" w:sz="0" w:space="0" w:color="auto"/>
            <w:left w:val="none" w:sz="0" w:space="0" w:color="auto"/>
            <w:bottom w:val="none" w:sz="0" w:space="0" w:color="auto"/>
            <w:right w:val="none" w:sz="0" w:space="0" w:color="auto"/>
          </w:divBdr>
          <w:divsChild>
            <w:div w:id="1568807513">
              <w:marLeft w:val="0"/>
              <w:marRight w:val="0"/>
              <w:marTop w:val="0"/>
              <w:marBottom w:val="0"/>
              <w:divBdr>
                <w:top w:val="none" w:sz="0" w:space="0" w:color="auto"/>
                <w:left w:val="none" w:sz="0" w:space="0" w:color="auto"/>
                <w:bottom w:val="none" w:sz="0" w:space="0" w:color="auto"/>
                <w:right w:val="none" w:sz="0" w:space="0" w:color="auto"/>
              </w:divBdr>
            </w:div>
          </w:divsChild>
        </w:div>
        <w:div w:id="227689469">
          <w:marLeft w:val="0"/>
          <w:marRight w:val="300"/>
          <w:marTop w:val="0"/>
          <w:marBottom w:val="150"/>
          <w:divBdr>
            <w:top w:val="none" w:sz="0" w:space="0" w:color="auto"/>
            <w:left w:val="none" w:sz="0" w:space="0" w:color="auto"/>
            <w:bottom w:val="none" w:sz="0" w:space="0" w:color="auto"/>
            <w:right w:val="none" w:sz="0" w:space="0" w:color="auto"/>
          </w:divBdr>
          <w:divsChild>
            <w:div w:id="1914504587">
              <w:marLeft w:val="0"/>
              <w:marRight w:val="150"/>
              <w:marTop w:val="225"/>
              <w:marBottom w:val="225"/>
              <w:divBdr>
                <w:top w:val="none" w:sz="0" w:space="0" w:color="auto"/>
                <w:left w:val="none" w:sz="0" w:space="0" w:color="auto"/>
                <w:bottom w:val="none" w:sz="0" w:space="0" w:color="auto"/>
                <w:right w:val="none" w:sz="0" w:space="0" w:color="auto"/>
              </w:divBdr>
            </w:div>
            <w:div w:id="90684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0123">
      <w:bodyDiv w:val="1"/>
      <w:marLeft w:val="0"/>
      <w:marRight w:val="0"/>
      <w:marTop w:val="0"/>
      <w:marBottom w:val="0"/>
      <w:divBdr>
        <w:top w:val="none" w:sz="0" w:space="0" w:color="auto"/>
        <w:left w:val="none" w:sz="0" w:space="0" w:color="auto"/>
        <w:bottom w:val="none" w:sz="0" w:space="0" w:color="auto"/>
        <w:right w:val="none" w:sz="0" w:space="0" w:color="auto"/>
      </w:divBdr>
    </w:div>
    <w:div w:id="1798454291">
      <w:bodyDiv w:val="1"/>
      <w:marLeft w:val="0"/>
      <w:marRight w:val="0"/>
      <w:marTop w:val="0"/>
      <w:marBottom w:val="0"/>
      <w:divBdr>
        <w:top w:val="none" w:sz="0" w:space="0" w:color="auto"/>
        <w:left w:val="none" w:sz="0" w:space="0" w:color="auto"/>
        <w:bottom w:val="none" w:sz="0" w:space="0" w:color="auto"/>
        <w:right w:val="none" w:sz="0" w:space="0" w:color="auto"/>
      </w:divBdr>
    </w:div>
    <w:div w:id="1871919849">
      <w:bodyDiv w:val="1"/>
      <w:marLeft w:val="0"/>
      <w:marRight w:val="0"/>
      <w:marTop w:val="0"/>
      <w:marBottom w:val="0"/>
      <w:divBdr>
        <w:top w:val="none" w:sz="0" w:space="0" w:color="auto"/>
        <w:left w:val="none" w:sz="0" w:space="0" w:color="auto"/>
        <w:bottom w:val="none" w:sz="0" w:space="0" w:color="auto"/>
        <w:right w:val="none" w:sz="0" w:space="0" w:color="auto"/>
      </w:divBdr>
    </w:div>
    <w:div w:id="1920476833">
      <w:bodyDiv w:val="1"/>
      <w:marLeft w:val="0"/>
      <w:marRight w:val="0"/>
      <w:marTop w:val="0"/>
      <w:marBottom w:val="0"/>
      <w:divBdr>
        <w:top w:val="none" w:sz="0" w:space="0" w:color="auto"/>
        <w:left w:val="none" w:sz="0" w:space="0" w:color="auto"/>
        <w:bottom w:val="none" w:sz="0" w:space="0" w:color="auto"/>
        <w:right w:val="none" w:sz="0" w:space="0" w:color="auto"/>
      </w:divBdr>
      <w:divsChild>
        <w:div w:id="1047948059">
          <w:marLeft w:val="-150"/>
          <w:marRight w:val="0"/>
          <w:marTop w:val="225"/>
          <w:marBottom w:val="0"/>
          <w:divBdr>
            <w:top w:val="single" w:sz="6" w:space="8" w:color="E5E5E5"/>
            <w:left w:val="none" w:sz="0" w:space="0" w:color="auto"/>
            <w:bottom w:val="single" w:sz="6" w:space="3" w:color="E5E5E5"/>
            <w:right w:val="none" w:sz="0" w:space="0" w:color="auto"/>
          </w:divBdr>
          <w:divsChild>
            <w:div w:id="292440854">
              <w:marLeft w:val="0"/>
              <w:marRight w:val="0"/>
              <w:marTop w:val="0"/>
              <w:marBottom w:val="0"/>
              <w:divBdr>
                <w:top w:val="none" w:sz="0" w:space="0" w:color="auto"/>
                <w:left w:val="none" w:sz="0" w:space="0" w:color="auto"/>
                <w:bottom w:val="none" w:sz="0" w:space="0" w:color="auto"/>
                <w:right w:val="none" w:sz="0" w:space="0" w:color="auto"/>
              </w:divBdr>
            </w:div>
            <w:div w:id="972323620">
              <w:marLeft w:val="0"/>
              <w:marRight w:val="0"/>
              <w:marTop w:val="0"/>
              <w:marBottom w:val="0"/>
              <w:divBdr>
                <w:top w:val="none" w:sz="0" w:space="0" w:color="auto"/>
                <w:left w:val="none" w:sz="0" w:space="0" w:color="auto"/>
                <w:bottom w:val="none" w:sz="0" w:space="0" w:color="auto"/>
                <w:right w:val="none" w:sz="0" w:space="0" w:color="auto"/>
              </w:divBdr>
            </w:div>
          </w:divsChild>
        </w:div>
        <w:div w:id="1030953245">
          <w:marLeft w:val="0"/>
          <w:marRight w:val="0"/>
          <w:marTop w:val="0"/>
          <w:marBottom w:val="0"/>
          <w:divBdr>
            <w:top w:val="none" w:sz="0" w:space="0" w:color="auto"/>
            <w:left w:val="none" w:sz="0" w:space="0" w:color="auto"/>
            <w:bottom w:val="none" w:sz="0" w:space="0" w:color="auto"/>
            <w:right w:val="none" w:sz="0" w:space="0" w:color="auto"/>
          </w:divBdr>
          <w:divsChild>
            <w:div w:id="7601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hyperlink" Target="http://news.gain.org/tagged/events" TargetMode="External"/><Relationship Id="rId14" Type="http://schemas.openxmlformats.org/officeDocument/2006/relationships/hyperlink" Target="https://github.com/globalai/GaIn-Index/issues" TargetMode="External"/><Relationship Id="rId15" Type="http://schemas.openxmlformats.org/officeDocument/2006/relationships/hyperlink" Target="https://github.com/globalai/GaIn-Index/tags" TargetMode="External"/><Relationship Id="rId16" Type="http://schemas.openxmlformats.org/officeDocument/2006/relationships/hyperlink" Target="https://github.com/globalai/Index-site/tags" TargetMode="External"/><Relationship Id="rId17" Type="http://schemas.openxmlformats.org/officeDocument/2006/relationships/hyperlink" Target="https://github.com/globalai/GaIn-Index/blob/master/GAIN-main-code.vb" TargetMode="External"/><Relationship Id="rId18" Type="http://schemas.openxmlformats.org/officeDocument/2006/relationships/image" Target="media/image4.png"/><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brunosan:Dropbox:GaIn:GAIN%20model:Gain%202012%20update:report:indexwebsit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brunosan:Dropbox:GaIn:GAIN%20model:Gain%20Bruno:report:indexwebsit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baseline="0"/>
              <a:t>Page Views</a:t>
            </a:r>
            <a:endParaRPr lang="en-US"/>
          </a:p>
        </c:rich>
      </c:tx>
      <c:layout/>
      <c:overlay val="0"/>
    </c:title>
    <c:autoTitleDeleted val="0"/>
    <c:plotArea>
      <c:layout>
        <c:manualLayout>
          <c:layoutTarget val="inner"/>
          <c:xMode val="edge"/>
          <c:yMode val="edge"/>
          <c:x val="0.135268643748705"/>
          <c:y val="0.213933281901514"/>
          <c:w val="0.415899615785392"/>
          <c:h val="0.66088269989224"/>
        </c:manualLayout>
      </c:layout>
      <c:pieChart>
        <c:varyColors val="1"/>
        <c:ser>
          <c:idx val="0"/>
          <c:order val="0"/>
          <c:dLbls>
            <c:txPr>
              <a:bodyPr/>
              <a:lstStyle/>
              <a:p>
                <a:pPr>
                  <a:defRPr sz="1400"/>
                </a:pPr>
                <a:endParaRPr lang="en-US"/>
              </a:p>
            </c:txPr>
            <c:showLegendKey val="0"/>
            <c:showVal val="0"/>
            <c:showCatName val="0"/>
            <c:showSerName val="0"/>
            <c:showPercent val="1"/>
            <c:showBubbleSize val="0"/>
            <c:showLeaderLines val="1"/>
          </c:dLbls>
          <c:cat>
            <c:strRef>
              <c:f>'Page views'!$A$2:$A$10</c:f>
              <c:strCache>
                <c:ptCount val="9"/>
                <c:pt idx="0">
                  <c:v>/ [Front page]</c:v>
                </c:pt>
                <c:pt idx="1">
                  <c:v>/ranking</c:v>
                </c:pt>
                <c:pt idx="2">
                  <c:v>/matrix</c:v>
                </c:pt>
                <c:pt idx="3">
                  <c:v>/about/methodology</c:v>
                </c:pt>
                <c:pt idx="4">
                  <c:v>/ranking/vulnerability</c:v>
                </c:pt>
                <c:pt idx="5">
                  <c:v>/about</c:v>
                </c:pt>
                <c:pt idx="6">
                  <c:v>/ranking/readiness</c:v>
                </c:pt>
                <c:pt idx="7">
                  <c:v>/about/matrix</c:v>
                </c:pt>
                <c:pt idx="8">
                  <c:v>Rest</c:v>
                </c:pt>
              </c:strCache>
            </c:strRef>
          </c:cat>
          <c:val>
            <c:numRef>
              <c:f>'Page views'!$B$2:$B$10</c:f>
              <c:numCache>
                <c:formatCode>#,##0</c:formatCode>
                <c:ptCount val="9"/>
                <c:pt idx="0">
                  <c:v>34824.0</c:v>
                </c:pt>
                <c:pt idx="1">
                  <c:v>10314.0</c:v>
                </c:pt>
                <c:pt idx="2">
                  <c:v>5636.0</c:v>
                </c:pt>
                <c:pt idx="3">
                  <c:v>4424.0</c:v>
                </c:pt>
                <c:pt idx="4">
                  <c:v>4331.0</c:v>
                </c:pt>
                <c:pt idx="5">
                  <c:v>3376.0</c:v>
                </c:pt>
                <c:pt idx="6">
                  <c:v>2414.0</c:v>
                </c:pt>
                <c:pt idx="7">
                  <c:v>1531.0</c:v>
                </c:pt>
                <c:pt idx="8">
                  <c:v>18614.0</c:v>
                </c:pt>
              </c:numCache>
            </c:numRef>
          </c:val>
        </c:ser>
        <c:dLbls>
          <c:showLegendKey val="0"/>
          <c:showVal val="0"/>
          <c:showCatName val="0"/>
          <c:showSerName val="0"/>
          <c:showPercent val="1"/>
          <c:showBubbleSize val="0"/>
          <c:showLeaderLines val="1"/>
        </c:dLbls>
        <c:firstSliceAng val="0"/>
      </c:pieChart>
    </c:plotArea>
    <c:legend>
      <c:legendPos val="r"/>
      <c:layout>
        <c:manualLayout>
          <c:xMode val="edge"/>
          <c:yMode val="edge"/>
          <c:x val="0.611051974380068"/>
          <c:y val="0.225242192338317"/>
          <c:w val="0.304702772174139"/>
          <c:h val="0.629852693975051"/>
        </c:manualLayout>
      </c:layout>
      <c:overlay val="0"/>
      <c:spPr>
        <a:solidFill>
          <a:schemeClr val="lt1"/>
        </a:solidFill>
        <a:ln w="25400" cap="flat" cmpd="sng" algn="ctr">
          <a:noFill/>
          <a:prstDash val="solid"/>
        </a:ln>
        <a:effectLst/>
      </c:spPr>
      <c:txPr>
        <a:bodyPr/>
        <a:lstStyle/>
        <a:p>
          <a:pPr>
            <a:defRPr sz="1400">
              <a:solidFill>
                <a:schemeClr val="dk1"/>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800"/>
            </a:pPr>
            <a:r>
              <a:rPr lang="en-US" sz="1800"/>
              <a:t>Traffic</a:t>
            </a:r>
            <a:r>
              <a:rPr lang="en-US" sz="1800" baseline="0"/>
              <a:t> sources</a:t>
            </a:r>
            <a:endParaRPr lang="en-US" sz="1800"/>
          </a:p>
        </c:rich>
      </c:tx>
      <c:layout>
        <c:manualLayout>
          <c:xMode val="edge"/>
          <c:yMode val="edge"/>
          <c:x val="0.352934711286089"/>
          <c:y val="0.0"/>
        </c:manualLayout>
      </c:layout>
      <c:overlay val="0"/>
    </c:title>
    <c:autoTitleDeleted val="0"/>
    <c:plotArea>
      <c:layout/>
      <c:pieChart>
        <c:varyColors val="1"/>
        <c:ser>
          <c:idx val="0"/>
          <c:order val="0"/>
          <c:explosion val="1"/>
          <c:dLbls>
            <c:txPr>
              <a:bodyPr/>
              <a:lstStyle/>
              <a:p>
                <a:pPr>
                  <a:defRPr sz="1200"/>
                </a:pPr>
                <a:endParaRPr lang="en-US"/>
              </a:p>
            </c:txPr>
            <c:showLegendKey val="0"/>
            <c:showVal val="0"/>
            <c:showCatName val="0"/>
            <c:showSerName val="0"/>
            <c:showPercent val="1"/>
            <c:showBubbleSize val="0"/>
            <c:showLeaderLines val="1"/>
          </c:dLbls>
          <c:cat>
            <c:strRef>
              <c:f>Sheet2!$A$9:$A$14</c:f>
              <c:strCache>
                <c:ptCount val="6"/>
                <c:pt idx="0">
                  <c:v>Direct traffic</c:v>
                </c:pt>
                <c:pt idx="1">
                  <c:v>Google organic</c:v>
                </c:pt>
                <c:pt idx="2">
                  <c:v>gain.org / globalai.org</c:v>
                </c:pt>
                <c:pt idx="3">
                  <c:v>andrewsullivan.thedailybeast.com</c:v>
                </c:pt>
                <c:pt idx="4">
                  <c:v>developmentseed.org</c:v>
                </c:pt>
                <c:pt idx="5">
                  <c:v>Twitter</c:v>
                </c:pt>
              </c:strCache>
            </c:strRef>
          </c:cat>
          <c:val>
            <c:numRef>
              <c:f>Sheet2!$B$9:$B$14</c:f>
              <c:numCache>
                <c:formatCode>#,##0</c:formatCode>
                <c:ptCount val="6"/>
                <c:pt idx="0">
                  <c:v>9564.0</c:v>
                </c:pt>
                <c:pt idx="1">
                  <c:v>3410.0</c:v>
                </c:pt>
                <c:pt idx="2">
                  <c:v>3431.0</c:v>
                </c:pt>
                <c:pt idx="3">
                  <c:v>2022.0</c:v>
                </c:pt>
                <c:pt idx="4">
                  <c:v>1221.0</c:v>
                </c:pt>
                <c:pt idx="5" formatCode="General">
                  <c:v>902.0</c:v>
                </c:pt>
              </c:numCache>
            </c:numRef>
          </c:val>
        </c:ser>
        <c:dLbls>
          <c:showLegendKey val="0"/>
          <c:showVal val="0"/>
          <c:showCatName val="0"/>
          <c:showSerName val="0"/>
          <c:showPercent val="1"/>
          <c:showBubbleSize val="0"/>
          <c:showLeaderLines val="1"/>
        </c:dLbls>
        <c:firstSliceAng val="0"/>
      </c:pieChart>
    </c:plotArea>
    <c:legend>
      <c:legendPos val="r"/>
      <c:layout>
        <c:manualLayout>
          <c:xMode val="edge"/>
          <c:yMode val="edge"/>
          <c:x val="0.541035469524643"/>
          <c:y val="0.156270579813887"/>
          <c:w val="0.342202454737504"/>
          <c:h val="0.772219836156844"/>
        </c:manualLayout>
      </c:layout>
      <c:overlay val="0"/>
      <c:txPr>
        <a:bodyPr/>
        <a:lstStyle/>
        <a:p>
          <a:pPr>
            <a:defRPr sz="1200"/>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3011</Words>
  <Characters>17166</Characters>
  <Application>Microsoft Macintosh Word</Application>
  <DocSecurity>0</DocSecurity>
  <Lines>143</Lines>
  <Paragraphs>40</Paragraphs>
  <ScaleCrop>false</ScaleCrop>
  <Company>Global Adaptation Institute</Company>
  <LinksUpToDate>false</LinksUpToDate>
  <CharactersWithSpaces>20137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Sanchez-Andrade Nuno</dc:creator>
  <cp:keywords/>
  <dc:description/>
  <cp:lastModifiedBy>Bruno Sanchez-Andrade Nuno</cp:lastModifiedBy>
  <cp:revision>3</cp:revision>
  <cp:lastPrinted>2012-07-27T21:56:00Z</cp:lastPrinted>
  <dcterms:created xsi:type="dcterms:W3CDTF">2012-07-31T18:09:00Z</dcterms:created>
  <dcterms:modified xsi:type="dcterms:W3CDTF">2012-07-31T18:10:00Z</dcterms:modified>
</cp:coreProperties>
</file>