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3579" w14:textId="3A6D8BF6" w:rsidR="00E87414" w:rsidRDefault="00E87414">
      <w:r>
        <w:t>KICKSTARTER</w:t>
      </w:r>
      <w:r w:rsidR="00071CC7">
        <w:t xml:space="preserve"> FUNDING ANALYSIS</w:t>
      </w:r>
    </w:p>
    <w:p w14:paraId="33D2F045" w14:textId="5850432F" w:rsidR="00FA1231" w:rsidRDefault="00FA1231">
      <w:r>
        <w:rPr>
          <w:noProof/>
        </w:rPr>
        <w:drawing>
          <wp:inline distT="0" distB="0" distL="0" distR="0" wp14:anchorId="706BDE7D" wp14:editId="1F3AD4D0">
            <wp:extent cx="5943600" cy="33699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0A7109-E5AB-4D35-9945-2B02FB028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36B8B9" w14:textId="5F43740C" w:rsidR="00FA1231" w:rsidRDefault="00FA1231">
      <w:r>
        <w:rPr>
          <w:noProof/>
        </w:rPr>
        <w:drawing>
          <wp:inline distT="0" distB="0" distL="0" distR="0" wp14:anchorId="697ABAF3" wp14:editId="730D4600">
            <wp:extent cx="5943600" cy="4194175"/>
            <wp:effectExtent l="0" t="0" r="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0518D5-B899-4E7F-8E95-072C6AD3FA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C7C88D" w14:textId="55986763" w:rsidR="00FA1231" w:rsidRDefault="00FA1231">
      <w:r>
        <w:rPr>
          <w:noProof/>
        </w:rPr>
        <w:lastRenderedPageBreak/>
        <w:drawing>
          <wp:inline distT="0" distB="0" distL="0" distR="0" wp14:anchorId="1F2528BF" wp14:editId="6F98D7B7">
            <wp:extent cx="5610225" cy="4125913"/>
            <wp:effectExtent l="0" t="0" r="9525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B8F782-0933-4BA0-ACDE-C139F49E0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32DFC" w14:textId="522C7EC7" w:rsidR="00FA1231" w:rsidRDefault="00FA1231">
      <w:r>
        <w:rPr>
          <w:noProof/>
        </w:rPr>
        <w:drawing>
          <wp:inline distT="0" distB="0" distL="0" distR="0" wp14:anchorId="10086E77" wp14:editId="5D9BF160">
            <wp:extent cx="5943600" cy="2875280"/>
            <wp:effectExtent l="0" t="0" r="0" b="12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142ABF8-2957-4D69-8D5C-98A6EF765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A07F1B" w14:textId="2035322F" w:rsidR="00FA1231" w:rsidRDefault="00FA1231">
      <w:r>
        <w:t>CONCLUSIONS</w:t>
      </w:r>
    </w:p>
    <w:p w14:paraId="642DE6F9" w14:textId="5ECBDB14" w:rsidR="0022014D" w:rsidRDefault="005B669D">
      <w:r>
        <w:t>One can draw several conclusions about Kickstarter campaigns within the categories analyzed</w:t>
      </w:r>
      <w:r w:rsidR="009E21B6">
        <w:t xml:space="preserve"> for all dates </w:t>
      </w:r>
      <w:r w:rsidR="006905C7">
        <w:t xml:space="preserve">and countries </w:t>
      </w:r>
      <w:r w:rsidR="009E21B6">
        <w:t>available</w:t>
      </w:r>
      <w:r>
        <w:t>.  Journalism</w:t>
      </w:r>
      <w:r w:rsidR="009E21B6">
        <w:t xml:space="preserve">, </w:t>
      </w:r>
      <w:r w:rsidR="002F4615">
        <w:t xml:space="preserve">food trucks and restaurant </w:t>
      </w:r>
      <w:r>
        <w:t>projects have zero</w:t>
      </w:r>
      <w:r w:rsidR="002F4615">
        <w:t xml:space="preserve"> chance of being </w:t>
      </w:r>
      <w:r>
        <w:t>success</w:t>
      </w:r>
      <w:r w:rsidR="002F4615">
        <w:t>ful based on the projects analyzed</w:t>
      </w:r>
      <w:r>
        <w:t xml:space="preserve">.  </w:t>
      </w:r>
      <w:r w:rsidR="002F4615">
        <w:t xml:space="preserve">Within the games category, only projects involving </w:t>
      </w:r>
      <w:r w:rsidR="002F4615">
        <w:lastRenderedPageBreak/>
        <w:t xml:space="preserve">tabletop games are likely to succeed compared to other types of gaming projects. </w:t>
      </w:r>
      <w:r>
        <w:t xml:space="preserve">Projects </w:t>
      </w:r>
      <w:r w:rsidR="002F4615">
        <w:t>involving rock music including those involving indie rock are among the most successful project subcategor</w:t>
      </w:r>
      <w:r w:rsidR="009E21B6">
        <w:t xml:space="preserve">y among the music projects </w:t>
      </w:r>
      <w:r w:rsidR="002F4615">
        <w:t xml:space="preserve">analyzed.  Nonfiction and radio/podcasts projects are most likely to be successful among </w:t>
      </w:r>
      <w:r w:rsidR="009E21B6">
        <w:t xml:space="preserve">publishing projects analyzed. </w:t>
      </w:r>
      <w:r w:rsidR="006905C7">
        <w:t>O</w:t>
      </w:r>
      <w:r w:rsidR="009E21B6">
        <w:t xml:space="preserve">ne would best be advised to start one’s project in May and not December based on the successful projects analyzed and their respective fund raising start date. </w:t>
      </w:r>
      <w:r w:rsidR="006905C7">
        <w:t>Lastly, one should expect little success in meeting one’s goal if the goal is to raise more than $50,000.</w:t>
      </w:r>
    </w:p>
    <w:p w14:paraId="7F84839A" w14:textId="0C4D2964" w:rsidR="009E21B6" w:rsidRDefault="009E21B6"/>
    <w:p w14:paraId="0739A8F7" w14:textId="10EF8849" w:rsidR="00FA1231" w:rsidRDefault="00FA1231">
      <w:r>
        <w:t>LIMITATIONS</w:t>
      </w:r>
    </w:p>
    <w:p w14:paraId="01D68EC4" w14:textId="1C738468" w:rsidR="009E21B6" w:rsidRDefault="009E21B6">
      <w:r>
        <w:t xml:space="preserve">Some limitations of the data, involve </w:t>
      </w:r>
      <w:r w:rsidR="006905C7">
        <w:t>the following:</w:t>
      </w:r>
    </w:p>
    <w:p w14:paraId="16AB4E7E" w14:textId="439B31F5" w:rsidR="006905C7" w:rsidRDefault="006905C7" w:rsidP="006905C7">
      <w:pPr>
        <w:pStyle w:val="ListParagraph"/>
        <w:numPr>
          <w:ilvl w:val="0"/>
          <w:numId w:val="1"/>
        </w:numPr>
      </w:pPr>
      <w:r>
        <w:t>There was no bias among whether a project was funded based on its category or subcategory.</w:t>
      </w:r>
      <w:r w:rsidR="00FA1231">
        <w:t xml:space="preserve">  Highly doubtful given “</w:t>
      </w:r>
      <w:r w:rsidR="00FA1231" w:rsidRPr="00FA1231">
        <w:t>only a third have made it through the funding process with a positive outcome</w:t>
      </w:r>
      <w:r w:rsidR="00FA1231">
        <w:t>” and the over 50% of the projects analyzed were successful.</w:t>
      </w:r>
    </w:p>
    <w:p w14:paraId="22F51063" w14:textId="0C9470E2" w:rsidR="006905C7" w:rsidRDefault="006905C7" w:rsidP="006905C7">
      <w:pPr>
        <w:pStyle w:val="ListParagraph"/>
        <w:numPr>
          <w:ilvl w:val="0"/>
          <w:numId w:val="1"/>
        </w:numPr>
      </w:pPr>
      <w:r>
        <w:t>There were equal number of potential backers and dollars available per subcategory within each category</w:t>
      </w:r>
      <w:r w:rsidR="00FA1231">
        <w:t>.</w:t>
      </w:r>
    </w:p>
    <w:p w14:paraId="6C51FC5B" w14:textId="35BB3763" w:rsidR="006905C7" w:rsidRDefault="00FA1231" w:rsidP="006905C7">
      <w:pPr>
        <w:pStyle w:val="ListParagraph"/>
        <w:numPr>
          <w:ilvl w:val="0"/>
          <w:numId w:val="1"/>
        </w:numPr>
      </w:pPr>
      <w:r>
        <w:t>Kickstarter Projects can only fit in one and only one type of category/subcategory from among all possible categories.</w:t>
      </w:r>
    </w:p>
    <w:p w14:paraId="6A48AE06" w14:textId="3C74900B" w:rsidR="00FA1231" w:rsidRDefault="00FA1231" w:rsidP="006905C7">
      <w:pPr>
        <w:pStyle w:val="ListParagraph"/>
        <w:numPr>
          <w:ilvl w:val="0"/>
          <w:numId w:val="1"/>
        </w:numPr>
      </w:pPr>
      <w:r>
        <w:t>“Staff pick” had no influence on the project’s success.</w:t>
      </w:r>
    </w:p>
    <w:p w14:paraId="5EC6C412" w14:textId="7C8F5BE4" w:rsidR="00FA1231" w:rsidRDefault="00FA1231" w:rsidP="00FA1231"/>
    <w:p w14:paraId="22C53709" w14:textId="3AC4B73F" w:rsidR="00FA1231" w:rsidRDefault="00FA1231" w:rsidP="00FA1231">
      <w:r>
        <w:t>ADDITIONAL RECOMMENDATIONS</w:t>
      </w:r>
    </w:p>
    <w:p w14:paraId="7883D496" w14:textId="013DF3D8" w:rsidR="00BB290F" w:rsidRDefault="009F4CBE" w:rsidP="00FA1231">
      <w:r>
        <w:t xml:space="preserve">The following </w:t>
      </w:r>
      <w:r w:rsidR="00CC1DE1">
        <w:t xml:space="preserve">analyses are recommended to provide additional </w:t>
      </w:r>
      <w:r w:rsidR="001C5E5B">
        <w:t>insight into the funding of Kickstarter projects:</w:t>
      </w:r>
    </w:p>
    <w:p w14:paraId="40C067C8" w14:textId="5865A9B9" w:rsidR="001C5E5B" w:rsidRDefault="00526436" w:rsidP="001C5E5B">
      <w:pPr>
        <w:pStyle w:val="ListParagraph"/>
        <w:numPr>
          <w:ilvl w:val="0"/>
          <w:numId w:val="2"/>
        </w:numPr>
      </w:pPr>
      <w:r>
        <w:t xml:space="preserve">A </w:t>
      </w:r>
      <w:r w:rsidR="0056202D">
        <w:t xml:space="preserve">scatter plot </w:t>
      </w:r>
      <w:r w:rsidR="005828EC">
        <w:t xml:space="preserve">depicting </w:t>
      </w:r>
      <w:r w:rsidR="00B87523">
        <w:t>average donation</w:t>
      </w:r>
      <w:r w:rsidR="0056202D">
        <w:t xml:space="preserve"> vs </w:t>
      </w:r>
      <w:r w:rsidR="00673711">
        <w:t>success</w:t>
      </w:r>
      <w:r w:rsidR="00CA4786">
        <w:t>/failure of projects analyzed.</w:t>
      </w:r>
    </w:p>
    <w:p w14:paraId="4F2CFF50" w14:textId="491539B8" w:rsidR="00CA4786" w:rsidRDefault="00A50649" w:rsidP="001C5E5B">
      <w:pPr>
        <w:pStyle w:val="ListParagraph"/>
        <w:numPr>
          <w:ilvl w:val="0"/>
          <w:numId w:val="2"/>
        </w:numPr>
      </w:pPr>
      <w:r>
        <w:t xml:space="preserve">An analysis involving length </w:t>
      </w:r>
      <w:r w:rsidR="0033736D">
        <w:t xml:space="preserve">of campaign vs </w:t>
      </w:r>
      <w:r w:rsidR="003B1BC8">
        <w:t>success/failure of project</w:t>
      </w:r>
      <w:r w:rsidR="00AF7EA1">
        <w:t>s analyzed</w:t>
      </w:r>
      <w:r w:rsidR="00B95781">
        <w:t>.</w:t>
      </w:r>
    </w:p>
    <w:p w14:paraId="4E54188A" w14:textId="7F4F89A3" w:rsidR="00AD3768" w:rsidRDefault="004E07A9" w:rsidP="001C5E5B">
      <w:pPr>
        <w:pStyle w:val="ListParagraph"/>
        <w:numPr>
          <w:ilvl w:val="0"/>
          <w:numId w:val="2"/>
        </w:numPr>
      </w:pPr>
      <w:r>
        <w:t xml:space="preserve">An </w:t>
      </w:r>
      <w:r w:rsidR="004553DA">
        <w:t xml:space="preserve">analysis and </w:t>
      </w:r>
      <w:bookmarkStart w:id="0" w:name="_GoBack"/>
      <w:bookmarkEnd w:id="0"/>
      <w:r w:rsidR="00B62830">
        <w:t xml:space="preserve">plot of the </w:t>
      </w:r>
      <w:r w:rsidR="00C433DE">
        <w:t>percent funded for a project</w:t>
      </w:r>
      <w:r w:rsidR="00FE6839">
        <w:t>s</w:t>
      </w:r>
      <w:r w:rsidR="00BA248F">
        <w:t xml:space="preserve"> analyzed vs</w:t>
      </w:r>
      <w:r w:rsidR="004614FC">
        <w:t xml:space="preserve"> average</w:t>
      </w:r>
      <w:r w:rsidR="00302AB3">
        <w:t xml:space="preserve"> </w:t>
      </w:r>
      <w:r w:rsidR="00F54C89">
        <w:t>donation.</w:t>
      </w:r>
      <w:r w:rsidR="0000394A">
        <w:t xml:space="preserve"> </w:t>
      </w:r>
    </w:p>
    <w:sectPr w:rsidR="00AD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68E9"/>
    <w:multiLevelType w:val="hybridMultilevel"/>
    <w:tmpl w:val="B448D0AE"/>
    <w:lvl w:ilvl="0" w:tplc="56CAE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E7CC6"/>
    <w:multiLevelType w:val="hybridMultilevel"/>
    <w:tmpl w:val="064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D"/>
    <w:rsid w:val="0000394A"/>
    <w:rsid w:val="00071CC7"/>
    <w:rsid w:val="00131591"/>
    <w:rsid w:val="001C5E5B"/>
    <w:rsid w:val="0022014D"/>
    <w:rsid w:val="002F4615"/>
    <w:rsid w:val="00302AB3"/>
    <w:rsid w:val="0033736D"/>
    <w:rsid w:val="003B1BC8"/>
    <w:rsid w:val="003F4313"/>
    <w:rsid w:val="004553DA"/>
    <w:rsid w:val="004614FC"/>
    <w:rsid w:val="004E07A9"/>
    <w:rsid w:val="00526436"/>
    <w:rsid w:val="0056202D"/>
    <w:rsid w:val="005828EC"/>
    <w:rsid w:val="005B669D"/>
    <w:rsid w:val="005D5219"/>
    <w:rsid w:val="005E4542"/>
    <w:rsid w:val="005F6F81"/>
    <w:rsid w:val="00673711"/>
    <w:rsid w:val="006905C7"/>
    <w:rsid w:val="007E6888"/>
    <w:rsid w:val="008E1ABF"/>
    <w:rsid w:val="00947F7D"/>
    <w:rsid w:val="009E21B6"/>
    <w:rsid w:val="009F4CBE"/>
    <w:rsid w:val="00A50649"/>
    <w:rsid w:val="00A666C4"/>
    <w:rsid w:val="00AD3768"/>
    <w:rsid w:val="00AF7EA1"/>
    <w:rsid w:val="00B62830"/>
    <w:rsid w:val="00B87523"/>
    <w:rsid w:val="00B95781"/>
    <w:rsid w:val="00BA248F"/>
    <w:rsid w:val="00BB290F"/>
    <w:rsid w:val="00C433DE"/>
    <w:rsid w:val="00CA4786"/>
    <w:rsid w:val="00CC1DE1"/>
    <w:rsid w:val="00E02CD8"/>
    <w:rsid w:val="00E20DA4"/>
    <w:rsid w:val="00E87414"/>
    <w:rsid w:val="00F276FE"/>
    <w:rsid w:val="00F54C89"/>
    <w:rsid w:val="00FA1231"/>
    <w:rsid w:val="00FC6618"/>
    <w:rsid w:val="00FE6839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D885"/>
  <w15:chartTrackingRefBased/>
  <w15:docId w15:val="{9A120F50-1C4D-416E-83F7-33F6223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e77ffaad5831ea/Data%20Analytics/01-Excel-Challenge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e77ffaad5831ea/Data%20Analytics/01-Excel-Challenge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e77ffaad5831ea/Data%20Analytics/01-Excel-Challenge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e77ffaad5831ea/Data%20Analytics/01-Excel-Challenge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[StarterBook.xlsx]Category!Number of Kickstarter Projects by Category</c:name>
    <c:fmtId val="-1"/>
  </c:pivotSource>
  <c:chart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D4-47FF-8FBA-A34FEE02559F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D4-47FF-8FBA-A34FEE02559F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D4-47FF-8FBA-A34FEE02559F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D4-47FF-8FBA-A34FEE025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31213023"/>
        <c:axId val="1599540527"/>
      </c:barChart>
      <c:catAx>
        <c:axId val="1931213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40527"/>
        <c:crosses val="autoZero"/>
        <c:auto val="1"/>
        <c:lblAlgn val="ctr"/>
        <c:lblOffset val="100"/>
        <c:noMultiLvlLbl val="0"/>
      </c:catAx>
      <c:valAx>
        <c:axId val="1599540527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213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[StarterBook.xlsx]Sub-category!Number of Kickstarter projects by Subcategory</c:name>
    <c:fmtId val="-1"/>
  </c:pivotSource>
  <c:chart>
    <c:autoTitleDeleted val="0"/>
    <c:pivotFmts>
      <c:pivotFmt>
        <c:idx val="0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solidFill>
              <a:srgbClr val="00B05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solidFill>
              <a:srgbClr val="FF000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4">
              <a:lumMod val="60000"/>
              <a:lumOff val="40000"/>
            </a:schemeClr>
          </a:solidFill>
          <a:ln>
            <a:solidFill>
              <a:schemeClr val="accent4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70C0"/>
          </a:solidFill>
          <a:ln>
            <a:solidFill>
              <a:srgbClr val="0070C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F6-4130-887B-A331BCCF598E}"/>
            </c:ext>
          </c:extLst>
        </c:ser>
        <c:ser>
          <c:idx val="1"/>
          <c:order val="1"/>
          <c:tx>
            <c:strRef>
              <c:f>'Sub-category'!$C$4:$C$5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F6-4130-887B-A331BCCF598E}"/>
            </c:ext>
          </c:extLst>
        </c:ser>
        <c:ser>
          <c:idx val="2"/>
          <c:order val="2"/>
          <c:tx>
            <c:strRef>
              <c:f>'Sub-category'!$D$4:$D$5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F6-4130-887B-A331BCCF598E}"/>
            </c:ext>
          </c:extLst>
        </c:ser>
        <c:ser>
          <c:idx val="3"/>
          <c:order val="3"/>
          <c:tx>
            <c:strRef>
              <c:f>'Sub-category'!$E$4:$E$5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F6-4130-887B-A331BCCF5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83543327"/>
        <c:axId val="1599538863"/>
      </c:barChart>
      <c:catAx>
        <c:axId val="178354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38863"/>
        <c:crosses val="autoZero"/>
        <c:auto val="0"/>
        <c:lblAlgn val="ctr"/>
        <c:lblOffset val="100"/>
        <c:tickLblSkip val="1"/>
        <c:noMultiLvlLbl val="0"/>
      </c:catAx>
      <c:valAx>
        <c:axId val="159953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5433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[StarterBook.xlsx]Date!PivotTable4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49-45D4-9673-C98FE5724676}"/>
            </c:ext>
          </c:extLst>
        </c:ser>
        <c:ser>
          <c:idx val="1"/>
          <c:order val="1"/>
          <c:tx>
            <c:strRef>
              <c:f>Date!$C$4:$C$5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49-45D4-9673-C98FE5724676}"/>
            </c:ext>
          </c:extLst>
        </c:ser>
        <c:ser>
          <c:idx val="2"/>
          <c:order val="2"/>
          <c:tx>
            <c:strRef>
              <c:f>Date!$D$4:$D$5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49-45D4-9673-C98FE57246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092335"/>
        <c:axId val="788332031"/>
      </c:lineChart>
      <c:catAx>
        <c:axId val="69309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332031"/>
        <c:crosses val="autoZero"/>
        <c:auto val="1"/>
        <c:lblAlgn val="ctr"/>
        <c:lblOffset val="100"/>
        <c:noMultiLvlLbl val="0"/>
      </c:catAx>
      <c:valAx>
        <c:axId val="78833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9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[StarterBook.xlsx]Bonus!$F$1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[StarterBook.xlsx]Bonus!$F$2:$F$13</c:f>
              <c:numCache>
                <c:formatCode>0.00%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3-4EE8-B780-5A0C766CF5E9}"/>
            </c:ext>
          </c:extLst>
        </c:ser>
        <c:ser>
          <c:idx val="1"/>
          <c:order val="1"/>
          <c:tx>
            <c:strRef>
              <c:f>[StarterBook.xlsx]Bonus!$G$1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[StarterBook.xlsx]Bonus!$G$2:$G$13</c:f>
              <c:numCache>
                <c:formatCode>0.00%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3-4EE8-B780-5A0C766CF5E9}"/>
            </c:ext>
          </c:extLst>
        </c:ser>
        <c:ser>
          <c:idx val="2"/>
          <c:order val="2"/>
          <c:tx>
            <c:strRef>
              <c:f>[StarterBook.xlsx]Bonus!$H$1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[StarterBook.xlsx]Bonus!$A$2:$A$13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[StarterBook.xlsx]Bonus!$H$2:$H$13</c:f>
              <c:numCache>
                <c:formatCode>0.00%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3-4EE8-B780-5A0C766CF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898063"/>
        <c:axId val="695188351"/>
      </c:lineChart>
      <c:catAx>
        <c:axId val="455898063"/>
        <c:scaling>
          <c:orientation val="minMax"/>
        </c:scaling>
        <c:delete val="0"/>
        <c:axPos val="b"/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188351"/>
        <c:crosses val="autoZero"/>
        <c:auto val="1"/>
        <c:lblAlgn val="ctr"/>
        <c:lblOffset val="100"/>
        <c:noMultiLvlLbl val="0"/>
      </c:catAx>
      <c:valAx>
        <c:axId val="69518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89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Wirth</dc:creator>
  <cp:keywords/>
  <dc:description/>
  <cp:lastModifiedBy>Philip Wirth</cp:lastModifiedBy>
  <cp:revision>43</cp:revision>
  <dcterms:created xsi:type="dcterms:W3CDTF">2019-10-11T20:06:00Z</dcterms:created>
  <dcterms:modified xsi:type="dcterms:W3CDTF">2019-10-11T22:20:00Z</dcterms:modified>
</cp:coreProperties>
</file>