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Fahad Qureshi</w:t>
      </w:r>
      <w:r>
        <w:br/>
      </w:r>
      <w:r>
        <w:t xml:space="preserve">Toronto, ON •</w:t>
      </w:r>
      <w:r>
        <w:t xml:space="preserve"> </w:t>
      </w:r>
      <w:hyperlink r:id="rId20">
        <w:r>
          <w:rPr>
            <w:rStyle w:val="Hyperlink"/>
          </w:rPr>
          <w:t xml:space="preserve">fahadq@gmail.com</w:t>
        </w:r>
      </w:hyperlink>
      <w:r>
        <w:t xml:space="preserve"> </w:t>
      </w:r>
      <w:r>
        <w:t xml:space="preserve">• 647-886-7147</w:t>
      </w:r>
      <w:r>
        <w:br/>
      </w:r>
      <w:hyperlink r:id="rId21">
        <w:r>
          <w:rPr>
            <w:rStyle w:val="Hyperlink"/>
          </w:rPr>
          <w:t xml:space="preserve">linkedin.com/in/qureshifahad</w:t>
        </w:r>
      </w:hyperlink>
    </w:p>
    <w:p>
      <w:r>
        <w:pict>
          <v:rect style="width:0;height:1.5pt" o:hralign="center" o:hrstd="t" o:hr="t"/>
        </w:pict>
      </w:r>
    </w:p>
    <w:bookmarkStart w:id="22" w:name="executive-summary"/>
    <w:p>
      <w:pPr>
        <w:pStyle w:val="Heading3"/>
      </w:pPr>
      <w:r>
        <w:t xml:space="preserve">🔸 EXECUTIVE SUMMARY</w:t>
      </w:r>
    </w:p>
    <w:p>
      <w:pPr>
        <w:pStyle w:val="FirstParagraph"/>
      </w:pPr>
      <w:r>
        <w:t xml:space="preserve">Results-driven executive with 15+ years leading enterprise-wide technology strategy, governance, investment review, and cross-functional programs in banking and financial services. Track record of enabling operating committees, managing enterprise PMOs, delivering value through tech investments, and aligning portfolio execution with business outcomes. Proven success influencing at the executive level and leading strategic change across complex organizations.</w:t>
      </w:r>
    </w:p>
    <w:p>
      <w:r>
        <w:pict>
          <v:rect style="width:0;height:1.5pt" o:hralign="center" o:hrstd="t" o:hr="t"/>
        </w:pict>
      </w:r>
    </w:p>
    <w:bookmarkEnd w:id="22"/>
    <w:bookmarkStart w:id="23" w:name="highlights-aligned-to-rbc-role"/>
    <w:p>
      <w:pPr>
        <w:pStyle w:val="Heading3"/>
      </w:pPr>
      <w:r>
        <w:t xml:space="preserve">🔸 HIGHLIGHTS ALIGNED TO RBC ROLE</w:t>
      </w:r>
    </w:p>
    <w:p>
      <w:pPr>
        <w:pStyle w:val="FirstParagraph"/>
      </w:pPr>
      <w:r>
        <w:rPr>
          <w:b/>
          <w:bCs/>
        </w:rPr>
        <w:t xml:space="preserve">Governance &amp; Operating Committee Leadership</w:t>
      </w:r>
    </w:p>
    <w:p>
      <w:pPr>
        <w:pStyle w:val="Compact"/>
        <w:numPr>
          <w:ilvl w:val="0"/>
          <w:numId w:val="1001"/>
        </w:numPr>
      </w:pPr>
      <w:r>
        <w:t xml:space="preserve">Supported executive Operating Committees at Manulife and RBC by introducing structured prioritization frameworks, enabling transparent decisions on funding and risk.</w:t>
      </w:r>
    </w:p>
    <w:p>
      <w:pPr>
        <w:pStyle w:val="Compact"/>
        <w:numPr>
          <w:ilvl w:val="0"/>
          <w:numId w:val="1001"/>
        </w:numPr>
      </w:pPr>
      <w:r>
        <w:t xml:space="preserve">Chaired cross-departmental governance meetings and planning offsites, setting strategic agendas and metrics to align execution with long-term strategy.</w:t>
      </w:r>
    </w:p>
    <w:p>
      <w:pPr>
        <w:pStyle w:val="FirstParagraph"/>
      </w:pPr>
      <w:r>
        <w:rPr>
          <w:b/>
          <w:bCs/>
        </w:rPr>
        <w:t xml:space="preserve">Portfolio &amp; Investment Strategy</w:t>
      </w:r>
    </w:p>
    <w:p>
      <w:pPr>
        <w:pStyle w:val="Compact"/>
        <w:numPr>
          <w:ilvl w:val="0"/>
          <w:numId w:val="1002"/>
        </w:numPr>
      </w:pPr>
      <w:r>
        <w:t xml:space="preserve">At Manulife, established a KPI-led portfolio management model with measurable key results across 200+ initiatives, enabling more effective quarterly investment reviews.</w:t>
      </w:r>
    </w:p>
    <w:p>
      <w:pPr>
        <w:pStyle w:val="Compact"/>
        <w:numPr>
          <w:ilvl w:val="0"/>
          <w:numId w:val="1002"/>
        </w:numPr>
      </w:pPr>
      <w:r>
        <w:t xml:space="preserve">At RBC Capital Markets and John Hancock, challenged major technology investments and optimized portfolio mix to accelerate business value realization.</w:t>
      </w:r>
    </w:p>
    <w:p>
      <w:pPr>
        <w:pStyle w:val="FirstParagraph"/>
      </w:pPr>
      <w:r>
        <w:rPr>
          <w:b/>
          <w:bCs/>
        </w:rPr>
        <w:t xml:space="preserve">Program &amp; Project Oversight (Execution Assurance)</w:t>
      </w:r>
    </w:p>
    <w:p>
      <w:pPr>
        <w:pStyle w:val="Compact"/>
        <w:numPr>
          <w:ilvl w:val="0"/>
          <w:numId w:val="1003"/>
        </w:numPr>
      </w:pPr>
      <w:r>
        <w:t xml:space="preserve">Introduced standardized reporting, OKRs, and agile project execution frameworks at John Hancock, resulting in 3× OKR attainment and 2× faster delivery in priority areas.</w:t>
      </w:r>
    </w:p>
    <w:p>
      <w:pPr>
        <w:pStyle w:val="Compact"/>
        <w:numPr>
          <w:ilvl w:val="0"/>
          <w:numId w:val="1003"/>
        </w:numPr>
      </w:pPr>
      <w:r>
        <w:t xml:space="preserve">Oversaw project risk, benefits realization, and delivery health across multi-million-dollar programs, including regulatory and transformation portfolios.</w:t>
      </w:r>
    </w:p>
    <w:p>
      <w:pPr>
        <w:pStyle w:val="FirstParagraph"/>
      </w:pPr>
      <w:r>
        <w:rPr>
          <w:b/>
          <w:bCs/>
        </w:rPr>
        <w:t xml:space="preserve">Financial Stewardship &amp; Risk Management</w:t>
      </w:r>
    </w:p>
    <w:p>
      <w:pPr>
        <w:pStyle w:val="Compact"/>
        <w:numPr>
          <w:ilvl w:val="0"/>
          <w:numId w:val="1004"/>
        </w:numPr>
      </w:pPr>
      <w:r>
        <w:t xml:space="preserve">Reclassified 17% of operational expense to capital at John Hancock by introducing a new cost attribution model based on real-time delivery data — eliminating the need for timesheets.</w:t>
      </w:r>
    </w:p>
    <w:p>
      <w:pPr>
        <w:pStyle w:val="Compact"/>
        <w:numPr>
          <w:ilvl w:val="0"/>
          <w:numId w:val="1004"/>
        </w:numPr>
      </w:pPr>
      <w:r>
        <w:t xml:space="preserve">Led financial and resource planning across FX tech portfolios at BMO and RBC ($17M–$22M/year), achieving $5M in cost savings and increasing recurring revenue by $3M.</w:t>
      </w:r>
    </w:p>
    <w:p>
      <w:pPr>
        <w:pStyle w:val="FirstParagraph"/>
      </w:pPr>
      <w:r>
        <w:rPr>
          <w:b/>
          <w:bCs/>
        </w:rPr>
        <w:t xml:space="preserve">Cross-Functional Enablement &amp; Communications</w:t>
      </w:r>
    </w:p>
    <w:p>
      <w:pPr>
        <w:pStyle w:val="Compact"/>
        <w:numPr>
          <w:ilvl w:val="0"/>
          <w:numId w:val="1005"/>
        </w:numPr>
      </w:pPr>
      <w:r>
        <w:t xml:space="preserve">Elevated design and comms capabilities for strategic deliverables at Prodago and John Hancock, including quarterly business reviews and Investor Day-style updates.</w:t>
      </w:r>
    </w:p>
    <w:p>
      <w:pPr>
        <w:pStyle w:val="Compact"/>
        <w:numPr>
          <w:ilvl w:val="0"/>
          <w:numId w:val="1005"/>
        </w:numPr>
      </w:pPr>
      <w:r>
        <w:t xml:space="preserve">Built global offshore teams (Infaque) and streamlined stakeholder engagement with business, IT, and control partners.</w:t>
      </w:r>
    </w:p>
    <w:p>
      <w:pPr>
        <w:pStyle w:val="FirstParagraph"/>
      </w:pPr>
      <w:r>
        <w:rPr>
          <w:b/>
          <w:bCs/>
        </w:rPr>
        <w:t xml:space="preserve">Strategic Initiatives &amp; Horizontal Programs</w:t>
      </w:r>
    </w:p>
    <w:p>
      <w:pPr>
        <w:pStyle w:val="Compact"/>
        <w:numPr>
          <w:ilvl w:val="0"/>
          <w:numId w:val="1006"/>
        </w:numPr>
      </w:pPr>
      <w:r>
        <w:t xml:space="preserve">Developed and scaled CIO Navigator-style programs at RBC to improve business-technology alignment and create future-ready leadership across T&amp;O teams.</w:t>
      </w:r>
    </w:p>
    <w:p>
      <w:pPr>
        <w:pStyle w:val="Compact"/>
        <w:numPr>
          <w:ilvl w:val="0"/>
          <w:numId w:val="1006"/>
        </w:numPr>
      </w:pPr>
      <w:r>
        <w:t xml:space="preserve">Introduced monthly health dashboards and value reporting to improve transparency and enable performance conversations at the executive level.</w:t>
      </w:r>
    </w:p>
    <w:p>
      <w:r>
        <w:pict>
          <v:rect style="width:0;height:1.5pt" o:hralign="center" o:hrstd="t" o:hr="t"/>
        </w:pict>
      </w:r>
    </w:p>
    <w:bookmarkEnd w:id="23"/>
    <w:bookmarkStart w:id="24" w:name="career-experience"/>
    <w:p>
      <w:pPr>
        <w:pStyle w:val="Heading3"/>
      </w:pPr>
      <w:r>
        <w:t xml:space="preserve">🔸 CAREER EXPERIENCE</w:t>
      </w:r>
    </w:p>
    <w:p>
      <w:pPr>
        <w:pStyle w:val="FirstParagraph"/>
      </w:pPr>
      <w:r>
        <w:rPr>
          <w:b/>
          <w:bCs/>
        </w:rPr>
        <w:t xml:space="preserve">Enterprise Consultant – Manulife / John Hancock</w:t>
      </w:r>
      <w:r>
        <w:br/>
      </w:r>
      <w:r>
        <w:rPr>
          <w:i/>
          <w:iCs/>
        </w:rPr>
        <w:t xml:space="preserve">2021 – June 2025</w:t>
      </w:r>
    </w:p>
    <w:p>
      <w:pPr>
        <w:pStyle w:val="Compact"/>
        <w:numPr>
          <w:ilvl w:val="0"/>
          <w:numId w:val="1007"/>
        </w:numPr>
      </w:pPr>
      <w:r>
        <w:t xml:space="preserve">At Manulife, partnered with Enterprise Technology Services to introduce OKRs, improve monthly reporting, and drive investment governance.</w:t>
      </w:r>
    </w:p>
    <w:p>
      <w:pPr>
        <w:pStyle w:val="Compact"/>
        <w:numPr>
          <w:ilvl w:val="0"/>
          <w:numId w:val="1007"/>
        </w:numPr>
      </w:pPr>
      <w:r>
        <w:t xml:space="preserve">At John Hancock, reduced fraud by $30M+ by aligning disparate initiatives and enabling shared goals across data, risk, and digital.</w:t>
      </w:r>
    </w:p>
    <w:p>
      <w:pPr>
        <w:pStyle w:val="Compact"/>
        <w:numPr>
          <w:ilvl w:val="0"/>
          <w:numId w:val="1007"/>
        </w:numPr>
      </w:pPr>
      <w:r>
        <w:t xml:space="preserve">Established cross-functional prioritization boards, reducing low-value tech requests by 30% and doubling initiative throughput.</w:t>
      </w:r>
    </w:p>
    <w:p>
      <w:pPr>
        <w:pStyle w:val="Compact"/>
        <w:numPr>
          <w:ilvl w:val="0"/>
          <w:numId w:val="1007"/>
        </w:numPr>
      </w:pPr>
      <w:r>
        <w:t xml:space="preserve">Introduced cost reclassification methodology adopted enterprise-wide to improve financial reporting and tax treatment.</w:t>
      </w:r>
    </w:p>
    <w:p>
      <w:pPr>
        <w:pStyle w:val="FirstParagraph"/>
      </w:pPr>
      <w:r>
        <w:rPr>
          <w:b/>
          <w:bCs/>
        </w:rPr>
        <w:t xml:space="preserve">CTO – Prodago</w:t>
      </w:r>
      <w:r>
        <w:br/>
      </w:r>
      <w:r>
        <w:rPr>
          <w:i/>
          <w:iCs/>
        </w:rPr>
        <w:t xml:space="preserve">2022 – Present</w:t>
      </w:r>
    </w:p>
    <w:p>
      <w:pPr>
        <w:pStyle w:val="Compact"/>
        <w:numPr>
          <w:ilvl w:val="0"/>
          <w:numId w:val="1008"/>
        </w:numPr>
      </w:pPr>
      <w:r>
        <w:t xml:space="preserve">Architected and launched an LLM-powered platform that translated regulatory requirements into actionable governance programs.</w:t>
      </w:r>
    </w:p>
    <w:p>
      <w:pPr>
        <w:pStyle w:val="Compact"/>
        <w:numPr>
          <w:ilvl w:val="0"/>
          <w:numId w:val="1008"/>
        </w:numPr>
      </w:pPr>
      <w:r>
        <w:t xml:space="preserve">Partnered directly with CFO, CRO, and CEO stakeholders to co-develop high-impact storytelling for quarterly reviews.</w:t>
      </w:r>
    </w:p>
    <w:p>
      <w:pPr>
        <w:pStyle w:val="Compact"/>
        <w:numPr>
          <w:ilvl w:val="0"/>
          <w:numId w:val="1008"/>
        </w:numPr>
      </w:pPr>
      <w:r>
        <w:t xml:space="preserve">Built an international tech team, halving delivery cost and doubling deployment speed via DevOps and automation on Azure.</w:t>
      </w:r>
    </w:p>
    <w:p>
      <w:pPr>
        <w:pStyle w:val="FirstParagraph"/>
      </w:pPr>
      <w:r>
        <w:rPr>
          <w:b/>
          <w:bCs/>
        </w:rPr>
        <w:t xml:space="preserve">Founder &amp; CTO – Infaque</w:t>
      </w:r>
      <w:r>
        <w:br/>
      </w:r>
      <w:r>
        <w:rPr>
          <w:i/>
          <w:iCs/>
        </w:rPr>
        <w:t xml:space="preserve">2021 – Present</w:t>
      </w:r>
    </w:p>
    <w:p>
      <w:pPr>
        <w:pStyle w:val="Compact"/>
        <w:numPr>
          <w:ilvl w:val="0"/>
          <w:numId w:val="1009"/>
        </w:numPr>
      </w:pPr>
      <w:r>
        <w:t xml:space="preserve">Built two SaaS products (enterprise and non-profit), enabling organizations to manage donations and regulatory compliance.</w:t>
      </w:r>
    </w:p>
    <w:p>
      <w:pPr>
        <w:pStyle w:val="Compact"/>
        <w:numPr>
          <w:ilvl w:val="0"/>
          <w:numId w:val="1009"/>
        </w:numPr>
      </w:pPr>
      <w:r>
        <w:t xml:space="preserve">Delivered consistent monthly recurring revenue, while scaling a fully remote team and onboarding 20+ clients in under a year.</w:t>
      </w:r>
    </w:p>
    <w:p>
      <w:pPr>
        <w:pStyle w:val="FirstParagraph"/>
      </w:pPr>
      <w:r>
        <w:rPr>
          <w:b/>
          <w:bCs/>
        </w:rPr>
        <w:t xml:space="preserve">Director, Business Agility – RBC</w:t>
      </w:r>
      <w:r>
        <w:br/>
      </w:r>
      <w:r>
        <w:rPr>
          <w:i/>
          <w:iCs/>
        </w:rPr>
        <w:t xml:space="preserve">2018 – 2021</w:t>
      </w:r>
    </w:p>
    <w:p>
      <w:pPr>
        <w:pStyle w:val="Compact"/>
        <w:numPr>
          <w:ilvl w:val="0"/>
          <w:numId w:val="1010"/>
        </w:numPr>
      </w:pPr>
      <w:r>
        <w:t xml:space="preserve">Led strategic agility transformation across 4 business units, boosting productivity by 50% and increasing business-aligned delivery.</w:t>
      </w:r>
    </w:p>
    <w:p>
      <w:pPr>
        <w:pStyle w:val="Compact"/>
        <w:numPr>
          <w:ilvl w:val="0"/>
          <w:numId w:val="1010"/>
        </w:numPr>
      </w:pPr>
      <w:r>
        <w:t xml:space="preserve">Rolled out prioritization and transparency frameworks to 20% of RBC’s OC leaders, helping realign execution with enterprise strategy.</w:t>
      </w:r>
    </w:p>
    <w:p>
      <w:pPr>
        <w:pStyle w:val="FirstParagraph"/>
      </w:pPr>
      <w:r>
        <w:rPr>
          <w:b/>
          <w:bCs/>
        </w:rPr>
        <w:t xml:space="preserve">Regional Head of FX Technology – RBC Capital Markets</w:t>
      </w:r>
      <w:r>
        <w:br/>
      </w:r>
      <w:r>
        <w:rPr>
          <w:i/>
          <w:iCs/>
        </w:rPr>
        <w:t xml:space="preserve">2017 – 2018</w:t>
      </w:r>
    </w:p>
    <w:p>
      <w:pPr>
        <w:pStyle w:val="Compact"/>
        <w:numPr>
          <w:ilvl w:val="0"/>
          <w:numId w:val="1011"/>
        </w:numPr>
      </w:pPr>
      <w:r>
        <w:t xml:space="preserve">Led modernization of FX systems, introducing automation, agile delivery, and quarterly OKRs that doubled delivery velocity as measured by releases per quarter.</w:t>
      </w:r>
    </w:p>
    <w:p>
      <w:pPr>
        <w:pStyle w:val="Compact"/>
        <w:numPr>
          <w:ilvl w:val="0"/>
          <w:numId w:val="1011"/>
        </w:numPr>
      </w:pPr>
      <w:r>
        <w:t xml:space="preserve">Integrated project management tooling and cross-functional KPIs to align development with business trading objectives.</w:t>
      </w:r>
    </w:p>
    <w:p>
      <w:pPr>
        <w:pStyle w:val="FirstParagraph"/>
      </w:pPr>
      <w:r>
        <w:rPr>
          <w:b/>
          <w:bCs/>
        </w:rPr>
        <w:t xml:space="preserve">Head of FX Technology – BMO Capital Markets</w:t>
      </w:r>
      <w:r>
        <w:br/>
      </w:r>
      <w:r>
        <w:rPr>
          <w:i/>
          <w:iCs/>
        </w:rPr>
        <w:t xml:space="preserve">2014 – 2016</w:t>
      </w:r>
    </w:p>
    <w:p>
      <w:pPr>
        <w:pStyle w:val="Compact"/>
        <w:numPr>
          <w:ilvl w:val="0"/>
          <w:numId w:val="1012"/>
        </w:numPr>
      </w:pPr>
      <w:r>
        <w:t xml:space="preserve">Managed $17M annual budget and a team of 60+ delivering FX systems.</w:t>
      </w:r>
    </w:p>
    <w:p>
      <w:pPr>
        <w:pStyle w:val="Compact"/>
        <w:numPr>
          <w:ilvl w:val="0"/>
          <w:numId w:val="1012"/>
        </w:numPr>
      </w:pPr>
      <w:r>
        <w:t xml:space="preserve">Reduced FX Ops costs, automated risk workflows, and optimized vendor spend to improve both margins and control.</w:t>
      </w:r>
    </w:p>
    <w:p>
      <w:r>
        <w:pict>
          <v:rect style="width:0;height:1.5pt" o:hralign="center" o:hrstd="t" o:hr="t"/>
        </w:pict>
      </w:r>
    </w:p>
    <w:bookmarkEnd w:id="24"/>
    <w:bookmarkStart w:id="25" w:name="education-certifications"/>
    <w:p>
      <w:pPr>
        <w:pStyle w:val="Heading3"/>
      </w:pPr>
      <w:r>
        <w:t xml:space="preserve">🔸 EDUCATION &amp; CERTIFICATIONS</w:t>
      </w:r>
    </w:p>
    <w:p>
      <w:pPr>
        <w:pStyle w:val="FirstParagraph"/>
      </w:pPr>
      <w:r>
        <w:rPr>
          <w:b/>
          <w:bCs/>
        </w:rPr>
        <w:t xml:space="preserve">M.A.Sc., Electrical &amp; Computer Engineering</w:t>
      </w:r>
      <w:r>
        <w:t xml:space="preserve"> </w:t>
      </w:r>
      <w:r>
        <w:t xml:space="preserve">– University of Toronto</w:t>
      </w:r>
      <w:r>
        <w:br/>
      </w:r>
      <w:r>
        <w:rPr>
          <w:b/>
          <w:bCs/>
        </w:rPr>
        <w:t xml:space="preserve">Certifications:</w:t>
      </w:r>
      <w:r>
        <w:t xml:space="preserve"> </w:t>
      </w:r>
      <w:r>
        <w:t xml:space="preserve">SAFe Program Consultant • Scrum@Scale Practitioner</w:t>
      </w:r>
      <w:r>
        <w:br/>
      </w:r>
      <w:r>
        <w:rPr>
          <w:b/>
          <w:bCs/>
        </w:rPr>
        <w:t xml:space="preserve">Courses:</w:t>
      </w:r>
      <w:r>
        <w:t xml:space="preserve"> </w:t>
      </w:r>
      <w:r>
        <w:t xml:space="preserve">NLP in TensorFlow • Multiplatform App Dev • Strategic Design Thinking</w:t>
      </w:r>
    </w:p>
    <w:p>
      <w:r>
        <w:pict>
          <v:rect style="width:0;height:1.5pt" o:hralign="center" o:hrstd="t" o:hr="t"/>
        </w:pict>
      </w:r>
    </w:p>
    <w:bookmarkEnd w:id="25"/>
    <w:bookmarkStart w:id="26" w:name="technical-domain-skills"/>
    <w:p>
      <w:pPr>
        <w:pStyle w:val="Heading3"/>
      </w:pPr>
      <w:r>
        <w:t xml:space="preserve">🔸 TECHNICAL &amp; DOMAIN SKILLS</w:t>
      </w:r>
    </w:p>
    <w:p>
      <w:pPr>
        <w:pStyle w:val="FirstParagraph"/>
      </w:pPr>
      <w:r>
        <w:t xml:space="preserve">Portfolio Governance • T&amp;O IRB • Financial Planning &amp; Risk Policies</w:t>
      </w:r>
      <w:r>
        <w:br/>
      </w:r>
      <w:r>
        <w:t xml:space="preserve">Cross-Enterprise Initiative Strategy • Agile/Waterfall PMO Models</w:t>
      </w:r>
      <w:r>
        <w:br/>
      </w:r>
      <w:r>
        <w:t xml:space="preserve">IT Budgeting &amp; Resource Management • Compliance &amp; Regulatory Alignment</w:t>
      </w:r>
      <w:r>
        <w:br/>
      </w:r>
      <w:r>
        <w:t xml:space="preserve">Offshore Team Leadership • Value Realization Metrics • Executive Reporting</w:t>
      </w:r>
    </w:p>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www.linkedin.com/in/qureshifahad" TargetMode="External" /><Relationship Type="http://schemas.openxmlformats.org/officeDocument/2006/relationships/hyperlink" Id="rId20" Target="mailto:fahadq@gmail.com" TargetMode="External" /></Relationships>
</file>

<file path=word/_rels/footnotes.xml.rels><?xml version="1.0" encoding="UTF-8"?><Relationships xmlns="http://schemas.openxmlformats.org/package/2006/relationships"><Relationship Type="http://schemas.openxmlformats.org/officeDocument/2006/relationships/hyperlink" Id="rId21" Target="https://www.linkedin.com/in/qureshifahad" TargetMode="External" /><Relationship Type="http://schemas.openxmlformats.org/officeDocument/2006/relationships/hyperlink" Id="rId20" Target="mailto:fahadq@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2025-07-30T13:50:16Z</dcterms:created>
  <dcterms:modified xsi:type="dcterms:W3CDTF">2025-07-30T13:50:16Z</dcterms:modified>
</cp:coreProperties>
</file>

<file path=docProps/custom.xml><?xml version="1.0" encoding="utf-8"?>
<Properties xmlns="http://schemas.openxmlformats.org/officeDocument/2006/custom-properties" xmlns:vt="http://schemas.openxmlformats.org/officeDocument/2006/docPropsVTypes"/>
</file>