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3835">
      <w:pPr>
        <w:widowControl/>
        <w:ind w:firstLine="194" w:firstLineChars="27"/>
        <w:jc w:val="center"/>
        <w:rPr>
          <w:kern w:val="0"/>
          <w:sz w:val="72"/>
        </w:rPr>
      </w:pPr>
      <w:bookmarkStart w:id="0" w:name="_Hlk101813988"/>
      <w:bookmarkEnd w:id="0"/>
      <w:r>
        <w:rPr>
          <w:kern w:val="0"/>
          <w:sz w:val="72"/>
        </w:rPr>
        <w:drawing>
          <wp:inline distT="0" distB="0" distL="114300" distR="114300">
            <wp:extent cx="4789170" cy="1194435"/>
            <wp:effectExtent l="0" t="0" r="11430" b="9525"/>
            <wp:docPr id="76" name="图片 1" descr="C:\Users\PanPan\Desktop\EC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C:\Users\PanPan\Desktop\ECUT.png"/>
                    <pic:cNvPicPr>
                      <a:picLocks noChangeAspect="1"/>
                    </pic:cNvPicPr>
                  </pic:nvPicPr>
                  <pic:blipFill>
                    <a:blip r:embed="rId11"/>
                    <a:stretch>
                      <a:fillRect/>
                    </a:stretch>
                  </pic:blipFill>
                  <pic:spPr>
                    <a:xfrm>
                      <a:off x="0" y="0"/>
                      <a:ext cx="4789170" cy="1194435"/>
                    </a:xfrm>
                    <a:prstGeom prst="rect">
                      <a:avLst/>
                    </a:prstGeom>
                    <a:noFill/>
                    <a:ln>
                      <a:noFill/>
                    </a:ln>
                  </pic:spPr>
                </pic:pic>
              </a:graphicData>
            </a:graphic>
          </wp:inline>
        </w:drawing>
      </w:r>
    </w:p>
    <w:p w14:paraId="1000359A">
      <w:pPr>
        <w:widowControl/>
        <w:ind w:firstLine="1446"/>
        <w:jc w:val="center"/>
        <w:rPr>
          <w:b/>
          <w:bCs/>
          <w:kern w:val="0"/>
          <w:sz w:val="72"/>
          <w:szCs w:val="72"/>
        </w:rPr>
      </w:pPr>
      <w:r>
        <w:rPr>
          <w:b/>
          <w:bCs/>
          <w:kern w:val="0"/>
          <w:sz w:val="72"/>
          <w:szCs w:val="72"/>
        </w:rPr>
        <w:t>毕业设计文献综述</w:t>
      </w:r>
    </w:p>
    <w:p w14:paraId="73152172">
      <w:pPr>
        <w:widowControl/>
        <w:ind w:firstLine="1446"/>
        <w:jc w:val="center"/>
        <w:rPr>
          <w:b/>
          <w:bCs/>
          <w:kern w:val="0"/>
          <w:sz w:val="72"/>
          <w:szCs w:val="72"/>
        </w:rPr>
      </w:pPr>
    </w:p>
    <w:tbl>
      <w:tblPr>
        <w:tblStyle w:val="9"/>
        <w:tblW w:w="89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7093"/>
      </w:tblGrid>
      <w:tr w14:paraId="6AC320D5">
        <w:trPr>
          <w:jc w:val="center"/>
        </w:trPr>
        <w:tc>
          <w:tcPr>
            <w:tcW w:w="1838" w:type="dxa"/>
            <w:vAlign w:val="center"/>
          </w:tcPr>
          <w:p w14:paraId="1DB46442">
            <w:pPr>
              <w:jc w:val="center"/>
              <w:rPr>
                <w:rFonts w:hint="eastAsia" w:ascii="黑体" w:hAnsi="黑体" w:eastAsia="黑体"/>
                <w:sz w:val="32"/>
                <w:szCs w:val="32"/>
              </w:rPr>
            </w:pPr>
            <w:r>
              <w:rPr>
                <w:rFonts w:hint="eastAsia" w:ascii="黑体" w:hAnsi="黑体" w:eastAsia="黑体"/>
                <w:sz w:val="32"/>
                <w:szCs w:val="32"/>
              </w:rPr>
              <w:t>题   目：</w:t>
            </w:r>
          </w:p>
        </w:tc>
        <w:tc>
          <w:tcPr>
            <w:tcW w:w="7093" w:type="dxa"/>
            <w:tcBorders>
              <w:bottom w:val="single" w:color="auto" w:sz="4" w:space="0"/>
            </w:tcBorders>
            <w:vAlign w:val="center"/>
          </w:tcPr>
          <w:p w14:paraId="2C76F5DE">
            <w:pPr>
              <w:keepNext w:val="0"/>
              <w:keepLines w:val="0"/>
              <w:widowControl/>
              <w:suppressLineNumbers w:val="0"/>
              <w:jc w:val="left"/>
              <w:rPr>
                <w:rFonts w:hint="eastAsia" w:ascii="黑体" w:hAnsi="黑体" w:eastAsia="黑体" w:cs="黑体"/>
                <w:sz w:val="30"/>
                <w:szCs w:val="30"/>
              </w:rPr>
            </w:pPr>
            <w:r>
              <w:rPr>
                <w:b/>
                <w:bCs/>
                <w:kern w:val="2"/>
                <w:sz w:val="36"/>
                <w:szCs w:val="36"/>
                <w:lang w:val="en-US" w:eastAsia="zh-CN"/>
              </w:rPr>
              <w:t>基于taro的“兵+”微信小程序的设计与实现</w:t>
            </w:r>
          </w:p>
        </w:tc>
      </w:tr>
      <w:tr w14:paraId="57DFA4DB">
        <w:trPr>
          <w:trHeight w:val="479" w:hRule="atLeast"/>
          <w:jc w:val="center"/>
        </w:trPr>
        <w:tc>
          <w:tcPr>
            <w:tcW w:w="1838" w:type="dxa"/>
            <w:vAlign w:val="center"/>
          </w:tcPr>
          <w:p w14:paraId="5ACF8DC1">
            <w:pPr>
              <w:spacing w:line="440" w:lineRule="exact"/>
              <w:jc w:val="center"/>
              <w:rPr>
                <w:rFonts w:hint="eastAsia" w:ascii="黑体" w:hAnsi="黑体" w:eastAsia="黑体"/>
                <w:sz w:val="32"/>
                <w:szCs w:val="32"/>
              </w:rPr>
            </w:pPr>
            <w:r>
              <w:rPr>
                <w:rFonts w:hint="eastAsia" w:ascii="黑体" w:hAnsi="黑体" w:eastAsia="黑体"/>
                <w:sz w:val="32"/>
                <w:szCs w:val="32"/>
              </w:rPr>
              <w:t>英文题目：</w:t>
            </w:r>
          </w:p>
        </w:tc>
        <w:tc>
          <w:tcPr>
            <w:tcW w:w="7093" w:type="dxa"/>
            <w:tcBorders>
              <w:top w:val="single" w:color="auto" w:sz="4" w:space="0"/>
              <w:bottom w:val="single" w:color="auto" w:sz="4" w:space="0"/>
            </w:tcBorders>
            <w:vAlign w:val="center"/>
          </w:tcPr>
          <w:p w14:paraId="16AE49AC">
            <w:pPr>
              <w:keepNext w:val="0"/>
              <w:keepLines w:val="0"/>
              <w:widowControl/>
              <w:suppressLineNumbers w:val="0"/>
              <w:jc w:val="left"/>
              <w:rPr>
                <w:rFonts w:ascii="Times New Roman" w:hAnsi="Times New Roman" w:eastAsia="黑体" w:cs="Times New Roman"/>
                <w:b/>
                <w:bCs/>
                <w:sz w:val="32"/>
                <w:szCs w:val="32"/>
              </w:rPr>
            </w:pPr>
            <w:r>
              <w:rPr>
                <w:rFonts w:ascii="Times New Roman" w:hAnsi="Times New Roman" w:eastAsia="黑体" w:cs="Times New Roman"/>
                <w:b/>
                <w:bCs/>
                <w:sz w:val="32"/>
                <w:szCs w:val="32"/>
                <w:lang w:val="en-US" w:eastAsia="zh-CN"/>
              </w:rPr>
              <w:t xml:space="preserve">Design and Implementation of the "Bing+" </w:t>
            </w:r>
            <w:r>
              <w:rPr>
                <w:rFonts w:hint="eastAsia" w:eastAsia="黑体" w:cs="Times New Roman"/>
                <w:b/>
                <w:bCs/>
                <w:sz w:val="32"/>
                <w:szCs w:val="32"/>
                <w:lang w:val="en-US" w:eastAsia="zh-CN"/>
              </w:rPr>
              <w:t>We Chat</w:t>
            </w:r>
            <w:r>
              <w:rPr>
                <w:rFonts w:ascii="Times New Roman" w:hAnsi="Times New Roman" w:eastAsia="黑体" w:cs="Times New Roman"/>
                <w:b/>
                <w:bCs/>
                <w:sz w:val="32"/>
                <w:szCs w:val="32"/>
                <w:lang w:val="en-US" w:eastAsia="zh-CN"/>
              </w:rPr>
              <w:t xml:space="preserve"> Mini Program Based on Taro</w:t>
            </w:r>
          </w:p>
        </w:tc>
      </w:tr>
    </w:tbl>
    <w:p w14:paraId="28BB7364">
      <w:pPr>
        <w:spacing w:line="440" w:lineRule="exact"/>
        <w:ind w:firstLine="1800" w:firstLineChars="600"/>
        <w:rPr>
          <w:rFonts w:hint="eastAsia"/>
          <w:sz w:val="30"/>
        </w:rPr>
      </w:pP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96"/>
        <w:gridCol w:w="1565"/>
        <w:gridCol w:w="1134"/>
        <w:gridCol w:w="1275"/>
        <w:gridCol w:w="1418"/>
      </w:tblGrid>
      <w:tr w14:paraId="7CAA4D44">
        <w:trPr>
          <w:trHeight w:val="615" w:hRule="atLeast"/>
          <w:jc w:val="center"/>
        </w:trPr>
        <w:tc>
          <w:tcPr>
            <w:tcW w:w="1696" w:type="dxa"/>
            <w:vAlign w:val="center"/>
          </w:tcPr>
          <w:p w14:paraId="3A469C0B">
            <w:pPr>
              <w:jc w:val="center"/>
              <w:rPr>
                <w:rFonts w:hint="eastAsia"/>
                <w:b/>
                <w:bCs/>
                <w:sz w:val="32"/>
                <w:szCs w:val="32"/>
              </w:rPr>
            </w:pPr>
            <w:r>
              <w:rPr>
                <w:rFonts w:hint="eastAsia"/>
                <w:b/>
                <w:bCs/>
                <w:sz w:val="32"/>
                <w:szCs w:val="32"/>
              </w:rPr>
              <w:t>学生姓名：</w:t>
            </w:r>
          </w:p>
        </w:tc>
        <w:tc>
          <w:tcPr>
            <w:tcW w:w="1565" w:type="dxa"/>
            <w:tcBorders>
              <w:bottom w:val="single" w:color="auto" w:sz="4" w:space="0"/>
            </w:tcBorders>
            <w:vAlign w:val="center"/>
          </w:tcPr>
          <w:p w14:paraId="41DD2E3C">
            <w:pPr>
              <w:autoSpaceDE/>
              <w:autoSpaceDN/>
              <w:spacing w:line="440" w:lineRule="exact"/>
              <w:jc w:val="center"/>
              <w:rPr>
                <w:rFonts w:hint="eastAsia" w:eastAsiaTheme="minorEastAsia"/>
                <w:b/>
                <w:bCs/>
                <w:sz w:val="32"/>
                <w:szCs w:val="32"/>
                <w:lang w:val="en-US" w:eastAsia="zh-CN"/>
              </w:rPr>
            </w:pPr>
            <w:r>
              <w:rPr>
                <w:rFonts w:hint="eastAsia" w:cstheme="minorBidi"/>
                <w:b/>
                <w:bCs/>
                <w:sz w:val="32"/>
                <w:szCs w:val="32"/>
                <w:lang w:val="en-US" w:eastAsia="zh-CN"/>
              </w:rPr>
              <w:t>范其东</w:t>
            </w:r>
          </w:p>
        </w:tc>
        <w:tc>
          <w:tcPr>
            <w:tcW w:w="2409" w:type="dxa"/>
            <w:gridSpan w:val="2"/>
            <w:vAlign w:val="center"/>
          </w:tcPr>
          <w:p w14:paraId="5D437E46">
            <w:pPr>
              <w:spacing w:line="440" w:lineRule="exact"/>
              <w:jc w:val="center"/>
              <w:rPr>
                <w:rFonts w:hint="eastAsia"/>
                <w:b/>
                <w:bCs/>
                <w:sz w:val="32"/>
                <w:szCs w:val="32"/>
              </w:rPr>
            </w:pPr>
            <w:r>
              <w:rPr>
                <w:rFonts w:hint="eastAsia"/>
                <w:b/>
                <w:bCs/>
                <w:sz w:val="32"/>
                <w:szCs w:val="32"/>
              </w:rPr>
              <w:t>申请学位门类：</w:t>
            </w:r>
          </w:p>
        </w:tc>
        <w:tc>
          <w:tcPr>
            <w:tcW w:w="1418" w:type="dxa"/>
            <w:tcBorders>
              <w:bottom w:val="single" w:color="auto" w:sz="4" w:space="0"/>
            </w:tcBorders>
            <w:vAlign w:val="center"/>
          </w:tcPr>
          <w:p w14:paraId="01503267">
            <w:pPr>
              <w:spacing w:line="440" w:lineRule="exact"/>
              <w:jc w:val="center"/>
              <w:rPr>
                <w:rFonts w:hint="eastAsia"/>
                <w:b/>
                <w:bCs/>
                <w:sz w:val="32"/>
                <w:szCs w:val="32"/>
              </w:rPr>
            </w:pPr>
            <w:r>
              <w:rPr>
                <w:rFonts w:hint="eastAsia"/>
                <w:b/>
                <w:bCs/>
                <w:sz w:val="32"/>
                <w:szCs w:val="32"/>
              </w:rPr>
              <w:t>工学</w:t>
            </w:r>
          </w:p>
        </w:tc>
      </w:tr>
      <w:tr w14:paraId="0088014E">
        <w:trPr>
          <w:trHeight w:val="542" w:hRule="atLeast"/>
          <w:jc w:val="center"/>
        </w:trPr>
        <w:tc>
          <w:tcPr>
            <w:tcW w:w="1696" w:type="dxa"/>
            <w:vAlign w:val="center"/>
          </w:tcPr>
          <w:p w14:paraId="2C631E38">
            <w:pPr>
              <w:jc w:val="center"/>
              <w:rPr>
                <w:rFonts w:hint="eastAsia"/>
                <w:b/>
                <w:bCs/>
                <w:sz w:val="32"/>
                <w:szCs w:val="32"/>
              </w:rPr>
            </w:pPr>
            <w:r>
              <w:rPr>
                <w:rFonts w:hint="eastAsia"/>
                <w:b/>
                <w:bCs/>
                <w:sz w:val="32"/>
                <w:szCs w:val="32"/>
              </w:rPr>
              <w:t>学</w:t>
            </w:r>
            <w:r>
              <w:rPr>
                <w:b/>
                <w:bCs/>
                <w:sz w:val="32"/>
                <w:szCs w:val="32"/>
              </w:rPr>
              <w:t xml:space="preserve">    </w:t>
            </w:r>
            <w:r>
              <w:rPr>
                <w:rFonts w:hint="eastAsia"/>
                <w:b/>
                <w:bCs/>
                <w:sz w:val="32"/>
                <w:szCs w:val="32"/>
              </w:rPr>
              <w:t>号：</w:t>
            </w:r>
          </w:p>
        </w:tc>
        <w:tc>
          <w:tcPr>
            <w:tcW w:w="5392" w:type="dxa"/>
            <w:gridSpan w:val="4"/>
            <w:tcBorders>
              <w:bottom w:val="single" w:color="auto" w:sz="4" w:space="0"/>
            </w:tcBorders>
            <w:vAlign w:val="center"/>
          </w:tcPr>
          <w:p w14:paraId="718B1A97">
            <w:pPr>
              <w:spacing w:line="440" w:lineRule="exact"/>
              <w:jc w:val="center"/>
              <w:rPr>
                <w:rFonts w:hint="default" w:eastAsiaTheme="minorEastAsia"/>
                <w:b/>
                <w:bCs/>
                <w:sz w:val="32"/>
                <w:szCs w:val="32"/>
                <w:lang w:val="en-US" w:eastAsia="zh-CN"/>
              </w:rPr>
            </w:pPr>
            <w:r>
              <w:rPr>
                <w:rFonts w:hint="eastAsia" w:asciiTheme="minorEastAsia" w:hAnsiTheme="minorEastAsia" w:eastAsiaTheme="minorEastAsia" w:cstheme="minorEastAsia"/>
                <w:b/>
                <w:bCs/>
                <w:sz w:val="32"/>
                <w:szCs w:val="32"/>
              </w:rPr>
              <w:t>20</w:t>
            </w:r>
            <w:r>
              <w:rPr>
                <w:rFonts w:hint="eastAsia" w:asciiTheme="minorEastAsia" w:hAnsiTheme="minorEastAsia" w:eastAsiaTheme="minorEastAsia" w:cstheme="minorEastAsia"/>
                <w:b/>
                <w:bCs/>
                <w:sz w:val="32"/>
                <w:szCs w:val="32"/>
                <w:lang w:val="en-US" w:eastAsia="zh-CN"/>
              </w:rPr>
              <w:t>20213619</w:t>
            </w:r>
          </w:p>
        </w:tc>
      </w:tr>
      <w:tr w14:paraId="03701E61">
        <w:trPr>
          <w:trHeight w:val="691" w:hRule="atLeast"/>
          <w:jc w:val="center"/>
        </w:trPr>
        <w:tc>
          <w:tcPr>
            <w:tcW w:w="1696" w:type="dxa"/>
            <w:vAlign w:val="center"/>
          </w:tcPr>
          <w:p w14:paraId="7CA6B6C5">
            <w:pPr>
              <w:jc w:val="center"/>
              <w:rPr>
                <w:rFonts w:hint="eastAsia"/>
                <w:b/>
                <w:bCs/>
                <w:sz w:val="32"/>
                <w:szCs w:val="32"/>
              </w:rPr>
            </w:pPr>
            <w:r>
              <w:rPr>
                <w:rFonts w:hint="eastAsia"/>
                <w:b/>
                <w:bCs/>
                <w:sz w:val="32"/>
                <w:szCs w:val="32"/>
              </w:rPr>
              <w:t>专</w:t>
            </w:r>
            <w:r>
              <w:rPr>
                <w:b/>
                <w:bCs/>
                <w:sz w:val="32"/>
                <w:szCs w:val="32"/>
              </w:rPr>
              <w:t xml:space="preserve">    </w:t>
            </w:r>
            <w:r>
              <w:rPr>
                <w:rFonts w:hint="eastAsia"/>
                <w:b/>
                <w:bCs/>
                <w:sz w:val="32"/>
                <w:szCs w:val="32"/>
              </w:rPr>
              <w:t>业：</w:t>
            </w:r>
          </w:p>
        </w:tc>
        <w:tc>
          <w:tcPr>
            <w:tcW w:w="5392" w:type="dxa"/>
            <w:gridSpan w:val="4"/>
            <w:tcBorders>
              <w:top w:val="single" w:color="auto" w:sz="4" w:space="0"/>
              <w:bottom w:val="single" w:color="auto" w:sz="4" w:space="0"/>
            </w:tcBorders>
            <w:vAlign w:val="center"/>
          </w:tcPr>
          <w:p w14:paraId="22BE8E91">
            <w:pPr>
              <w:spacing w:line="440" w:lineRule="exact"/>
              <w:jc w:val="center"/>
              <w:rPr>
                <w:rFonts w:hint="eastAsia"/>
                <w:b/>
                <w:bCs/>
                <w:sz w:val="32"/>
                <w:szCs w:val="32"/>
              </w:rPr>
            </w:pPr>
            <w:r>
              <w:rPr>
                <w:rFonts w:hint="eastAsia"/>
                <w:b/>
                <w:bCs/>
                <w:sz w:val="32"/>
                <w:szCs w:val="32"/>
                <w:lang w:val="en-US" w:eastAsia="zh-CN"/>
              </w:rPr>
              <w:t>软件</w:t>
            </w:r>
            <w:r>
              <w:rPr>
                <w:b/>
                <w:bCs/>
                <w:sz w:val="32"/>
                <w:szCs w:val="32"/>
              </w:rPr>
              <w:t>工程</w:t>
            </w:r>
          </w:p>
        </w:tc>
      </w:tr>
      <w:tr w14:paraId="2D166F68">
        <w:trPr>
          <w:trHeight w:val="708" w:hRule="atLeast"/>
          <w:jc w:val="center"/>
        </w:trPr>
        <w:tc>
          <w:tcPr>
            <w:tcW w:w="1696" w:type="dxa"/>
            <w:vAlign w:val="center"/>
          </w:tcPr>
          <w:p w14:paraId="7F4A3092">
            <w:pPr>
              <w:jc w:val="center"/>
              <w:rPr>
                <w:rFonts w:hint="eastAsia"/>
                <w:b/>
                <w:bCs/>
                <w:sz w:val="32"/>
                <w:szCs w:val="32"/>
              </w:rPr>
            </w:pPr>
            <w:r>
              <w:rPr>
                <w:rFonts w:hint="eastAsia"/>
                <w:b/>
                <w:bCs/>
                <w:sz w:val="32"/>
                <w:szCs w:val="32"/>
              </w:rPr>
              <w:t>学</w:t>
            </w:r>
            <w:r>
              <w:rPr>
                <w:b/>
                <w:bCs/>
                <w:sz w:val="32"/>
                <w:szCs w:val="32"/>
              </w:rPr>
              <w:t xml:space="preserve">    </w:t>
            </w:r>
            <w:r>
              <w:rPr>
                <w:rFonts w:hint="eastAsia"/>
                <w:b/>
                <w:bCs/>
                <w:sz w:val="32"/>
                <w:szCs w:val="32"/>
              </w:rPr>
              <w:t>院：</w:t>
            </w:r>
          </w:p>
        </w:tc>
        <w:tc>
          <w:tcPr>
            <w:tcW w:w="5392" w:type="dxa"/>
            <w:gridSpan w:val="4"/>
            <w:tcBorders>
              <w:top w:val="single" w:color="auto" w:sz="4" w:space="0"/>
              <w:bottom w:val="single" w:color="auto" w:sz="4" w:space="0"/>
            </w:tcBorders>
            <w:vAlign w:val="center"/>
          </w:tcPr>
          <w:p w14:paraId="5C36603A">
            <w:pPr>
              <w:spacing w:line="440" w:lineRule="exact"/>
              <w:jc w:val="center"/>
              <w:rPr>
                <w:rFonts w:hint="eastAsia"/>
                <w:b/>
                <w:bCs/>
                <w:sz w:val="32"/>
                <w:szCs w:val="32"/>
              </w:rPr>
            </w:pPr>
            <w:r>
              <w:rPr>
                <w:b/>
                <w:bCs/>
                <w:sz w:val="32"/>
                <w:szCs w:val="32"/>
              </w:rPr>
              <w:t>软件学院</w:t>
            </w:r>
          </w:p>
        </w:tc>
      </w:tr>
      <w:tr w14:paraId="5CF5B919">
        <w:trPr>
          <w:jc w:val="center"/>
        </w:trPr>
        <w:tc>
          <w:tcPr>
            <w:tcW w:w="1696" w:type="dxa"/>
            <w:vAlign w:val="center"/>
          </w:tcPr>
          <w:p w14:paraId="50BCB68E">
            <w:pPr>
              <w:jc w:val="center"/>
              <w:rPr>
                <w:rFonts w:hint="eastAsia"/>
                <w:b/>
                <w:bCs/>
                <w:sz w:val="32"/>
                <w:szCs w:val="32"/>
              </w:rPr>
            </w:pPr>
            <w:r>
              <w:rPr>
                <w:rFonts w:hint="eastAsia"/>
                <w:b/>
                <w:bCs/>
                <w:sz w:val="32"/>
                <w:szCs w:val="32"/>
              </w:rPr>
              <w:t>指导教师：</w:t>
            </w:r>
          </w:p>
        </w:tc>
        <w:tc>
          <w:tcPr>
            <w:tcW w:w="1565" w:type="dxa"/>
            <w:tcBorders>
              <w:top w:val="single" w:color="auto" w:sz="4" w:space="0"/>
              <w:bottom w:val="single" w:color="auto" w:sz="4" w:space="0"/>
            </w:tcBorders>
            <w:vAlign w:val="center"/>
          </w:tcPr>
          <w:p w14:paraId="72B45441">
            <w:pPr>
              <w:spacing w:line="440" w:lineRule="exact"/>
              <w:jc w:val="center"/>
              <w:rPr>
                <w:rFonts w:hint="eastAsia" w:eastAsiaTheme="minorEastAsia"/>
                <w:b/>
                <w:bCs/>
                <w:sz w:val="32"/>
                <w:szCs w:val="32"/>
                <w:lang w:val="en-US" w:eastAsia="zh-CN"/>
              </w:rPr>
            </w:pPr>
            <w:r>
              <w:rPr>
                <w:rFonts w:hint="eastAsia"/>
                <w:b/>
                <w:bCs/>
                <w:sz w:val="32"/>
                <w:szCs w:val="32"/>
                <w:lang w:val="en-US" w:eastAsia="zh-CN"/>
              </w:rPr>
              <w:t>余小军</w:t>
            </w:r>
          </w:p>
        </w:tc>
        <w:tc>
          <w:tcPr>
            <w:tcW w:w="1134" w:type="dxa"/>
            <w:tcBorders>
              <w:top w:val="single" w:color="auto" w:sz="4" w:space="0"/>
            </w:tcBorders>
            <w:vAlign w:val="center"/>
          </w:tcPr>
          <w:p w14:paraId="0B112652">
            <w:pPr>
              <w:spacing w:line="440" w:lineRule="exact"/>
              <w:jc w:val="center"/>
              <w:rPr>
                <w:rFonts w:hint="eastAsia"/>
                <w:b/>
                <w:bCs/>
                <w:sz w:val="32"/>
                <w:szCs w:val="32"/>
              </w:rPr>
            </w:pPr>
            <w:r>
              <w:rPr>
                <w:rFonts w:hint="eastAsia"/>
                <w:b/>
                <w:bCs/>
                <w:sz w:val="32"/>
                <w:szCs w:val="32"/>
              </w:rPr>
              <w:t>职称：</w:t>
            </w:r>
          </w:p>
        </w:tc>
        <w:tc>
          <w:tcPr>
            <w:tcW w:w="2693" w:type="dxa"/>
            <w:gridSpan w:val="2"/>
            <w:tcBorders>
              <w:top w:val="single" w:color="auto" w:sz="4" w:space="0"/>
              <w:bottom w:val="single" w:color="auto" w:sz="4" w:space="0"/>
            </w:tcBorders>
            <w:vAlign w:val="center"/>
          </w:tcPr>
          <w:p w14:paraId="2BF7D010">
            <w:pPr>
              <w:spacing w:line="440" w:lineRule="exact"/>
              <w:jc w:val="center"/>
              <w:rPr>
                <w:rFonts w:hint="eastAsia"/>
                <w:b/>
                <w:bCs/>
                <w:sz w:val="32"/>
                <w:szCs w:val="32"/>
              </w:rPr>
            </w:pPr>
            <w:r>
              <w:rPr>
                <w:rFonts w:hint="eastAsia"/>
                <w:b/>
                <w:bCs/>
                <w:sz w:val="32"/>
                <w:szCs w:val="32"/>
              </w:rPr>
              <w:t>讲师</w:t>
            </w:r>
          </w:p>
        </w:tc>
      </w:tr>
    </w:tbl>
    <w:p w14:paraId="59CAD244">
      <w:pPr>
        <w:spacing w:line="300" w:lineRule="auto"/>
        <w:ind w:firstLine="1800" w:firstLineChars="600"/>
        <w:rPr>
          <w:rFonts w:hint="eastAsia"/>
          <w:sz w:val="30"/>
          <w:u w:val="single"/>
        </w:rPr>
      </w:pPr>
    </w:p>
    <w:p w14:paraId="54F160E8">
      <w:pPr>
        <w:spacing w:line="300" w:lineRule="auto"/>
        <w:ind w:firstLine="1800" w:firstLineChars="600"/>
        <w:rPr>
          <w:rFonts w:hint="eastAsia"/>
          <w:sz w:val="30"/>
          <w:u w:val="single"/>
        </w:rPr>
      </w:pPr>
    </w:p>
    <w:p w14:paraId="5A66C8D1">
      <w:pPr>
        <w:spacing w:line="300" w:lineRule="auto"/>
        <w:ind w:firstLine="1800" w:firstLineChars="600"/>
        <w:rPr>
          <w:rFonts w:hint="eastAsia"/>
          <w:sz w:val="30"/>
          <w:u w:val="single"/>
        </w:rPr>
      </w:pPr>
    </w:p>
    <w:p w14:paraId="3AB10E27">
      <w:pPr>
        <w:spacing w:line="300" w:lineRule="auto"/>
        <w:ind w:firstLine="1800" w:firstLineChars="600"/>
        <w:rPr>
          <w:rFonts w:hint="eastAsia"/>
          <w:sz w:val="30"/>
          <w:u w:val="single"/>
        </w:rPr>
      </w:pPr>
    </w:p>
    <w:p w14:paraId="4C13D1ED">
      <w:pPr>
        <w:spacing w:line="300" w:lineRule="auto"/>
        <w:ind w:firstLine="1800" w:firstLineChars="600"/>
        <w:rPr>
          <w:rFonts w:hint="eastAsia"/>
          <w:sz w:val="30"/>
          <w:u w:val="single"/>
        </w:rPr>
      </w:pPr>
    </w:p>
    <w:p w14:paraId="09CF45B2">
      <w:pPr>
        <w:spacing w:line="300" w:lineRule="auto"/>
        <w:ind w:firstLine="1800" w:firstLineChars="600"/>
        <w:rPr>
          <w:rFonts w:hint="eastAsia"/>
          <w:sz w:val="30"/>
          <w:u w:val="single"/>
        </w:rPr>
      </w:pPr>
    </w:p>
    <w:p w14:paraId="207DC065">
      <w:pPr>
        <w:spacing w:line="300" w:lineRule="auto"/>
        <w:ind w:firstLine="1800" w:firstLineChars="600"/>
        <w:rPr>
          <w:rFonts w:hint="eastAsia"/>
          <w:sz w:val="30"/>
          <w:u w:val="single"/>
        </w:rPr>
      </w:pPr>
    </w:p>
    <w:p w14:paraId="2ACB73CE">
      <w:pPr>
        <w:spacing w:line="300" w:lineRule="auto"/>
        <w:ind w:firstLine="1800" w:firstLineChars="600"/>
        <w:rPr>
          <w:rFonts w:hint="eastAsia"/>
          <w:sz w:val="30"/>
          <w:u w:val="single"/>
        </w:rPr>
      </w:pPr>
    </w:p>
    <w:p w14:paraId="16C6799C">
      <w:pPr>
        <w:spacing w:line="300" w:lineRule="auto"/>
        <w:ind w:firstLine="1800" w:firstLineChars="600"/>
        <w:rPr>
          <w:rFonts w:hint="eastAsia"/>
          <w:sz w:val="30"/>
          <w:u w:val="single"/>
        </w:rPr>
      </w:pPr>
    </w:p>
    <w:p w14:paraId="3001C46D">
      <w:pPr>
        <w:spacing w:line="300" w:lineRule="auto"/>
        <w:ind w:firstLine="1800" w:firstLineChars="600"/>
        <w:rPr>
          <w:rFonts w:hint="eastAsia"/>
          <w:sz w:val="30"/>
          <w:u w:val="single"/>
        </w:rPr>
      </w:pPr>
    </w:p>
    <w:p w14:paraId="1451A2F9">
      <w:pPr>
        <w:spacing w:line="300" w:lineRule="auto"/>
        <w:rPr>
          <w:rFonts w:hint="eastAsia"/>
          <w:sz w:val="30"/>
          <w:u w:val="single"/>
        </w:rPr>
      </w:pPr>
    </w:p>
    <w:p w14:paraId="6AE0ABA6">
      <w:pPr>
        <w:autoSpaceDE/>
        <w:autoSpaceDN/>
        <w:jc w:val="center"/>
        <w:rPr>
          <w:rFonts w:hint="eastAsia"/>
          <w:b/>
          <w:bCs/>
          <w:kern w:val="2"/>
          <w:sz w:val="32"/>
          <w:szCs w:val="32"/>
          <w:lang w:bidi="ar"/>
        </w:rPr>
      </w:pPr>
      <w:r>
        <w:rPr>
          <w:rFonts w:hint="eastAsia"/>
          <w:b/>
          <w:bCs/>
          <w:kern w:val="2"/>
          <w:sz w:val="32"/>
          <w:szCs w:val="32"/>
          <w:lang w:bidi="ar"/>
        </w:rPr>
        <w:t>二〇二</w:t>
      </w:r>
      <w:r>
        <w:rPr>
          <w:rFonts w:hint="eastAsia"/>
          <w:b/>
          <w:bCs/>
          <w:kern w:val="2"/>
          <w:sz w:val="32"/>
          <w:szCs w:val="32"/>
          <w:lang w:val="en-US" w:eastAsia="zh-CN" w:bidi="ar"/>
        </w:rPr>
        <w:t>六</w:t>
      </w:r>
      <w:r>
        <w:rPr>
          <w:rFonts w:hint="eastAsia"/>
          <w:b/>
          <w:bCs/>
          <w:kern w:val="2"/>
          <w:sz w:val="32"/>
          <w:szCs w:val="32"/>
          <w:lang w:bidi="ar"/>
        </w:rPr>
        <w:t>年</w:t>
      </w:r>
      <w:r>
        <w:rPr>
          <w:rFonts w:hint="eastAsia"/>
          <w:b/>
          <w:bCs/>
          <w:kern w:val="2"/>
          <w:sz w:val="32"/>
          <w:szCs w:val="32"/>
          <w:lang w:val="en-US" w:eastAsia="zh-CN" w:bidi="ar"/>
        </w:rPr>
        <w:t>五</w:t>
      </w:r>
      <w:r>
        <w:rPr>
          <w:rFonts w:hint="eastAsia"/>
          <w:b/>
          <w:bCs/>
          <w:kern w:val="2"/>
          <w:sz w:val="32"/>
          <w:szCs w:val="32"/>
          <w:lang w:bidi="ar"/>
        </w:rPr>
        <w:t>月三十</w:t>
      </w:r>
    </w:p>
    <w:p w14:paraId="7076E79B">
      <w:pPr>
        <w:rPr>
          <w:rFonts w:hint="eastAsia"/>
          <w:b/>
          <w:bCs/>
          <w:kern w:val="2"/>
          <w:sz w:val="32"/>
          <w:szCs w:val="32"/>
          <w:lang w:bidi="ar"/>
        </w:rPr>
        <w:sectPr>
          <w:headerReference r:id="rId4" w:type="first"/>
          <w:footerReference r:id="rId7" w:type="first"/>
          <w:footerReference r:id="rId5" w:type="default"/>
          <w:headerReference r:id="rId3" w:type="even"/>
          <w:footerReference r:id="rId6" w:type="even"/>
          <w:pgSz w:w="11911" w:h="16838"/>
          <w:pgMar w:top="1587" w:right="1417" w:bottom="1417" w:left="1417" w:header="907" w:footer="850" w:gutter="283"/>
          <w:pgBorders>
            <w:top w:val="none" w:sz="0" w:space="0"/>
            <w:left w:val="none" w:sz="0" w:space="0"/>
            <w:bottom w:val="none" w:sz="0" w:space="0"/>
            <w:right w:val="none" w:sz="0" w:space="0"/>
          </w:pgBorders>
          <w:pgNumType w:fmt="upperRoman" w:start="1"/>
          <w:cols w:space="0" w:num="1"/>
        </w:sectPr>
      </w:pPr>
    </w:p>
    <w:p w14:paraId="096D31AA">
      <w:pPr>
        <w:jc w:val="center"/>
        <w:rPr>
          <w:rFonts w:ascii="黑体" w:eastAsia="黑体"/>
          <w:sz w:val="36"/>
          <w:szCs w:val="36"/>
        </w:rPr>
      </w:pPr>
      <w:r>
        <w:rPr>
          <w:rFonts w:hint="eastAsia" w:ascii="黑体" w:eastAsia="黑体"/>
          <w:sz w:val="36"/>
          <w:szCs w:val="36"/>
        </w:rPr>
        <w:t>毕业设计（论文）文献综述</w:t>
      </w:r>
    </w:p>
    <w:tbl>
      <w:tblPr>
        <w:tblStyle w:val="8"/>
        <w:tblW w:w="9457" w:type="dxa"/>
        <w:tblInd w:w="0" w:type="dxa"/>
        <w:tblBorders>
          <w:top w:val="none" w:color="auto" w:sz="0" w:space="0"/>
          <w:left w:val="none" w:color="auto" w:sz="0" w:space="0"/>
          <w:bottom w:val="none" w:color="auto" w:sz="0"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9457"/>
      </w:tblGrid>
      <w:tr w14:paraId="3BD912BF">
        <w:trPr>
          <w:trHeight w:val="782" w:hRule="atLeast"/>
        </w:trPr>
        <w:tc>
          <w:tcPr>
            <w:tcW w:w="9457" w:type="dxa"/>
            <w:vAlign w:val="center"/>
          </w:tcPr>
          <w:p w14:paraId="54A56746">
            <w:pPr>
              <w:jc w:val="left"/>
              <w:rPr>
                <w:b/>
              </w:rPr>
            </w:pPr>
            <w:r>
              <w:rPr>
                <w:rFonts w:hint="eastAsia"/>
                <w:b/>
              </w:rPr>
              <w:t>题  目：</w:t>
            </w:r>
            <w:r>
              <w:rPr>
                <w:rFonts w:hint="eastAsia"/>
                <w:b/>
                <w:lang w:val="en-US" w:eastAsia="zh-CN"/>
              </w:rPr>
              <w:t>基于taro的“兵+”微信小程序的设计与实现</w:t>
            </w:r>
          </w:p>
        </w:tc>
      </w:tr>
      <w:tr w14:paraId="550EB0B7">
        <w:trPr>
          <w:trHeight w:val="567" w:hRule="atLeast"/>
        </w:trPr>
        <w:tc>
          <w:tcPr>
            <w:tcW w:w="9457" w:type="dxa"/>
            <w:vAlign w:val="center"/>
          </w:tcPr>
          <w:p w14:paraId="681A171C">
            <w:pPr>
              <w:jc w:val="left"/>
              <w:rPr>
                <w:b/>
              </w:rPr>
            </w:pPr>
            <w:r>
              <w:rPr>
                <w:rFonts w:hint="eastAsia"/>
                <w:b/>
              </w:rPr>
              <w:t>摘  要：</w:t>
            </w:r>
          </w:p>
        </w:tc>
      </w:tr>
      <w:tr w14:paraId="0A82A4DE">
        <w:trPr>
          <w:trHeight w:val="542" w:hRule="atLeast"/>
        </w:trPr>
        <w:tc>
          <w:tcPr>
            <w:tcW w:w="9457" w:type="dxa"/>
          </w:tcPr>
          <w:p w14:paraId="3ADC1404">
            <w:pPr>
              <w:overflowPunct w:val="0"/>
              <w:spacing w:line="440" w:lineRule="exact"/>
              <w:ind w:firstLine="420"/>
              <w:jc w:val="both"/>
              <w:rPr>
                <w:rFonts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随</w:t>
            </w:r>
            <w:r>
              <w:rPr>
                <w:rFonts w:ascii="Times New Roman" w:hAnsi="Times New Roman" w:eastAsia="宋体" w:cs="Times New Roman"/>
                <w:kern w:val="2"/>
                <w:sz w:val="24"/>
                <w:szCs w:val="24"/>
                <w:lang w:val="en-US" w:eastAsia="zh-CN"/>
              </w:rPr>
              <w:t>着数字政府建设和移动互联网技术的不断发展，面向退役军人的公共服务正逐步向在线化、智能化和便捷化方向转型。针对传统退役军人服务过程中存在的信息分散、办理流程繁琐、服务资源获取不便以及区域化服务能力不足等问题，设计并实现了一套退役军人综合服务微信小程序。</w:t>
            </w:r>
          </w:p>
          <w:p w14:paraId="25D1DAC3">
            <w:pPr>
              <w:overflowPunct w:val="0"/>
              <w:spacing w:line="440" w:lineRule="exact"/>
              <w:ind w:firstLine="420"/>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lang w:val="en-US" w:eastAsia="zh-CN"/>
              </w:rPr>
              <w:t>该系统围绕退役军人实际需求，集成了政策咨询、就业服务、创业扶持、教育培训、健康管理、烈士英名录查询、烈士纪念设施查询以及个人信息管理等功能，致力于构建一体化、智能化的退役军人服务平台</w:t>
            </w:r>
            <w:r>
              <w:rPr>
                <w:rFonts w:hint="eastAsia" w:ascii="Times New Roman" w:hAnsi="Times New Roman" w:eastAsia="宋体" w:cs="Times New Roman"/>
                <w:kern w:val="2"/>
                <w:sz w:val="24"/>
                <w:szCs w:val="24"/>
                <w:lang w:val="en-US" w:eastAsia="zh-CN"/>
              </w:rPr>
              <w:t>。</w:t>
            </w:r>
            <w:r>
              <w:rPr>
                <w:rFonts w:ascii="Times New Roman" w:hAnsi="Times New Roman" w:eastAsia="宋体" w:cs="Times New Roman"/>
                <w:kern w:val="2"/>
                <w:sz w:val="24"/>
                <w:szCs w:val="24"/>
                <w:lang w:val="en-US" w:eastAsia="zh-CN"/>
              </w:rPr>
              <w:t>系统前端基于 Taro 框架，结合 React 和 TypeScript 进行开发，实现了面向微信小程序环境的页面构建、交互设计与功能集成；后端依托微信云开发平台，采用 Node.js 云函数与云数据库完成用户登录、手机号绑定、数据查询、信息提交、业务状态跟踪及数据持久化等核心业务逻辑处理。同时，系统引入 AI 问答模块，为退役报到、优待证办理、社会保险接续、就业培训等场景提供智能化政策咨询支持，从而提升系统服务的精准性与交互效率。</w:t>
            </w:r>
          </w:p>
          <w:p w14:paraId="032219E0">
            <w:pPr>
              <w:overflowPunct w:val="0"/>
              <w:spacing w:line="440" w:lineRule="exact"/>
              <w:ind w:firstLine="420"/>
              <w:jc w:val="both"/>
            </w:pPr>
            <w:r>
              <w:rPr>
                <w:rFonts w:ascii="Times New Roman" w:hAnsi="Times New Roman" w:eastAsia="宋体" w:cs="Times New Roman"/>
                <w:kern w:val="2"/>
                <w:sz w:val="24"/>
                <w:szCs w:val="24"/>
                <w:lang w:val="en-US" w:eastAsia="zh-CN"/>
              </w:rPr>
              <w:t>在系统开发完成后，对其功能完整性、接口稳定性、数据存储正确性及页面交互效果进行了综合测试。测试结果表明，该系统能够较为稳定地实现各项预期功能，满足退役军人在信息获取、业务办理和服务查询等方面的实际需求。系统的建设不仅提高了退役军人服务的数字化和智能化水平，也为相关公共服务平台的小程序化实现提供了可借鉴的设计思路与技术参考。</w:t>
            </w:r>
          </w:p>
        </w:tc>
      </w:tr>
      <w:tr w14:paraId="285D41FA">
        <w:trPr>
          <w:trHeight w:val="567" w:hRule="atLeast"/>
        </w:trPr>
        <w:tc>
          <w:tcPr>
            <w:tcW w:w="9457" w:type="dxa"/>
            <w:vAlign w:val="center"/>
          </w:tcPr>
          <w:p w14:paraId="530C8320">
            <w:pPr>
              <w:jc w:val="left"/>
              <w:rPr>
                <w:b/>
              </w:rPr>
            </w:pPr>
            <w:r>
              <w:rPr>
                <w:rFonts w:hint="eastAsia"/>
                <w:b/>
              </w:rPr>
              <w:t>关键词：</w:t>
            </w:r>
          </w:p>
        </w:tc>
      </w:tr>
      <w:tr w14:paraId="15BDD499">
        <w:trPr>
          <w:trHeight w:val="567" w:hRule="atLeast"/>
        </w:trPr>
        <w:tc>
          <w:tcPr>
            <w:tcW w:w="9457" w:type="dxa"/>
            <w:vAlign w:val="center"/>
          </w:tcPr>
          <w:p w14:paraId="4710BC3A">
            <w:pPr>
              <w:ind w:firstLine="480" w:firstLineChars="200"/>
              <w:jc w:val="left"/>
              <w:rPr>
                <w:rFonts w:hint="default"/>
                <w:lang w:val="en-US"/>
              </w:rPr>
            </w:pPr>
            <w:r>
              <w:rPr>
                <w:lang w:val="en-US" w:eastAsia="zh-CN"/>
              </w:rPr>
              <w:t>退役军人服务；</w:t>
            </w:r>
            <w:r>
              <w:rPr>
                <w:rFonts w:hint="eastAsia"/>
                <w:lang w:val="en-US" w:eastAsia="zh-CN"/>
              </w:rPr>
              <w:t xml:space="preserve"> </w:t>
            </w:r>
            <w:r>
              <w:rPr>
                <w:lang w:val="en-US" w:eastAsia="zh-CN"/>
              </w:rPr>
              <w:t>微信小程序；</w:t>
            </w:r>
            <w:r>
              <w:rPr>
                <w:rFonts w:hint="eastAsia"/>
                <w:lang w:val="en-US" w:eastAsia="zh-CN"/>
              </w:rPr>
              <w:t xml:space="preserve"> </w:t>
            </w:r>
            <w:r>
              <w:rPr>
                <w:lang w:val="en-US" w:eastAsia="zh-CN"/>
              </w:rPr>
              <w:t>Taro；</w:t>
            </w:r>
            <w:r>
              <w:rPr>
                <w:rFonts w:hint="eastAsia"/>
                <w:lang w:val="en-US" w:eastAsia="zh-CN"/>
              </w:rPr>
              <w:t xml:space="preserve"> </w:t>
            </w:r>
            <w:r>
              <w:rPr>
                <w:lang w:val="en-US" w:eastAsia="zh-CN"/>
              </w:rPr>
              <w:t>云</w:t>
            </w:r>
            <w:r>
              <w:rPr>
                <w:rFonts w:hint="eastAsia"/>
                <w:lang w:val="en-US" w:eastAsia="zh-CN"/>
              </w:rPr>
              <w:t>开发</w:t>
            </w:r>
            <w:r>
              <w:rPr>
                <w:lang w:val="en-US" w:eastAsia="zh-CN"/>
              </w:rPr>
              <w:t>；</w:t>
            </w:r>
            <w:r>
              <w:rPr>
                <w:rFonts w:hint="eastAsia"/>
                <w:lang w:val="en-US" w:eastAsia="zh-CN"/>
              </w:rPr>
              <w:t>AI</w:t>
            </w:r>
          </w:p>
        </w:tc>
      </w:tr>
      <w:tr w14:paraId="41B77F79">
        <w:trPr>
          <w:trHeight w:val="567" w:hRule="atLeast"/>
        </w:trPr>
        <w:tc>
          <w:tcPr>
            <w:tcW w:w="9457" w:type="dxa"/>
            <w:vAlign w:val="center"/>
          </w:tcPr>
          <w:p w14:paraId="6D270B33">
            <w:pPr>
              <w:jc w:val="left"/>
              <w:rPr>
                <w:b/>
              </w:rPr>
            </w:pPr>
            <w:r>
              <w:rPr>
                <w:rFonts w:hint="eastAsia"/>
                <w:b/>
              </w:rPr>
              <w:t>Abstract:</w:t>
            </w:r>
          </w:p>
        </w:tc>
      </w:tr>
      <w:tr w14:paraId="62496B42">
        <w:trPr>
          <w:trHeight w:val="517" w:hRule="atLeast"/>
        </w:trPr>
        <w:tc>
          <w:tcPr>
            <w:tcW w:w="9457" w:type="dxa"/>
          </w:tcPr>
          <w:p w14:paraId="28C362FB">
            <w:pPr>
              <w:ind w:firstLine="480" w:firstLineChars="200"/>
              <w:rPr>
                <w:sz w:val="24"/>
                <w:szCs w:val="24"/>
                <w:lang w:val="en-US" w:eastAsia="zh-CN"/>
              </w:rPr>
            </w:pPr>
            <w:bookmarkStart w:id="1" w:name="_Hlk136269848"/>
            <w:r>
              <w:rPr>
                <w:sz w:val="24"/>
                <w:szCs w:val="24"/>
                <w:lang w:val="en-US" w:eastAsia="zh-CN"/>
              </w:rPr>
              <w:t xml:space="preserve">With the continuous advancement of digital government initiatives and mobile Internet technologies, public services for veterans are increasingly evolving toward online, intelligent, and convenient service models. To address the problems existing in traditional veteran service scenarios, such as scattered information, complicated handling procedures, limited access to service resources, and insufficient regionalized service support, this study designs and implements a comprehensive WeChat Mini Program for veterans. </w:t>
            </w:r>
          </w:p>
          <w:p w14:paraId="6B9C9244">
            <w:pPr>
              <w:rPr>
                <w:sz w:val="24"/>
                <w:szCs w:val="24"/>
                <w:lang w:val="en-US" w:eastAsia="zh-CN"/>
              </w:rPr>
            </w:pPr>
          </w:p>
          <w:p w14:paraId="4B5F8CF4">
            <w:pPr>
              <w:ind w:firstLine="420" w:firstLineChars="0"/>
              <w:rPr>
                <w:sz w:val="24"/>
                <w:szCs w:val="24"/>
              </w:rPr>
            </w:pPr>
            <w:r>
              <w:rPr>
                <w:sz w:val="24"/>
                <w:szCs w:val="24"/>
                <w:lang w:val="en-US" w:eastAsia="zh-CN"/>
              </w:rPr>
              <w:t>Centered on the practical needs of veterans, the system integrates multiple functional modules, including policy consultation, employment services, entrepreneurship support, education and training, health management, martyrs directory inquiry, memorial facilities inquiry, and personal information management, aiming to build an integrated and intelligent service platform for veterans.</w:t>
            </w:r>
          </w:p>
          <w:p w14:paraId="6819AA20">
            <w:pPr>
              <w:ind w:firstLine="480" w:firstLineChars="200"/>
              <w:rPr>
                <w:sz w:val="24"/>
                <w:szCs w:val="24"/>
              </w:rPr>
            </w:pPr>
          </w:p>
          <w:p w14:paraId="620E1F78">
            <w:pPr>
              <w:ind w:firstLine="480" w:firstLineChars="200"/>
            </w:pPr>
            <w:r>
              <w:rPr>
                <w:sz w:val="24"/>
                <w:szCs w:val="24"/>
              </w:rPr>
              <w:t>In order to facilitate teachers and schools to carry out effective assessment of students' mental health, as well as early observation and treatment of college students who may have psychological problems, it is very necessary to develop a psychological assessment system. Data show that psychological assessment has a certain authority and science, can effectively reduce the psychological problems of college students.</w:t>
            </w:r>
          </w:p>
        </w:tc>
      </w:tr>
      <w:tr w14:paraId="3256CB79">
        <w:trPr>
          <w:trHeight w:val="567" w:hRule="atLeast"/>
        </w:trPr>
        <w:tc>
          <w:tcPr>
            <w:tcW w:w="9457" w:type="dxa"/>
            <w:vAlign w:val="center"/>
          </w:tcPr>
          <w:p w14:paraId="6AFFFEB5">
            <w:pPr>
              <w:jc w:val="left"/>
            </w:pPr>
            <w:bookmarkStart w:id="2" w:name="_Hlk136269872"/>
            <w:r>
              <w:rPr>
                <w:rFonts w:hint="eastAsia"/>
                <w:b/>
              </w:rPr>
              <w:t>Keywords:</w:t>
            </w:r>
            <w:bookmarkEnd w:id="2"/>
          </w:p>
        </w:tc>
      </w:tr>
      <w:bookmarkEnd w:id="1"/>
    </w:tbl>
    <w:p w14:paraId="380C50BC">
      <w:pPr>
        <w:jc w:val="left"/>
      </w:pPr>
      <w:r>
        <w:rPr>
          <w:rFonts w:hint="default" w:ascii="Times New Roman Regular" w:hAnsi="Times New Roman Regular" w:cs="Times New Roman Regular"/>
          <w:sz w:val="24"/>
          <w:szCs w:val="24"/>
          <w:lang w:val="en-US" w:eastAsia="zh-CN"/>
        </w:rPr>
        <w:t>veteran services; WeChat Mini Program; Taro; cloud functions; cloud database; AI</w:t>
      </w:r>
    </w:p>
    <w:p w14:paraId="6BD7634D">
      <w:pPr>
        <w:jc w:val="left"/>
      </w:pPr>
    </w:p>
    <w:p w14:paraId="1A2EC35B">
      <w:pPr>
        <w:jc w:val="left"/>
      </w:pPr>
    </w:p>
    <w:p w14:paraId="684D496F">
      <w:pPr>
        <w:jc w:val="left"/>
      </w:pPr>
    </w:p>
    <w:p w14:paraId="3D71A861">
      <w:pPr>
        <w:jc w:val="left"/>
      </w:pPr>
    </w:p>
    <w:p w14:paraId="56A81E41">
      <w:pPr>
        <w:jc w:val="left"/>
      </w:pPr>
    </w:p>
    <w:tbl>
      <w:tblPr>
        <w:tblStyle w:val="8"/>
        <w:tblW w:w="9457" w:type="dxa"/>
        <w:tblInd w:w="0" w:type="dxa"/>
        <w:tblLayout w:type="fixed"/>
        <w:tblCellMar>
          <w:top w:w="0" w:type="dxa"/>
          <w:left w:w="108" w:type="dxa"/>
          <w:bottom w:w="0" w:type="dxa"/>
          <w:right w:w="108" w:type="dxa"/>
        </w:tblCellMar>
      </w:tblPr>
      <w:tblGrid>
        <w:gridCol w:w="9457"/>
      </w:tblGrid>
      <w:tr w14:paraId="5FA9A6CA">
        <w:trPr>
          <w:trHeight w:val="352" w:hRule="atLeast"/>
        </w:trPr>
        <w:tc>
          <w:tcPr>
            <w:tcW w:w="9457" w:type="dxa"/>
            <w:tcBorders>
              <w:bottom w:val="dotted" w:color="auto" w:sz="4" w:space="0"/>
            </w:tcBorders>
          </w:tcPr>
          <w:p w14:paraId="7F1EE7A5">
            <w:pPr>
              <w:jc w:val="left"/>
            </w:pPr>
            <w:r>
              <w:rPr>
                <w:rFonts w:hint="eastAsia"/>
              </w:rPr>
              <w:t>文献综述内容：</w:t>
            </w:r>
          </w:p>
        </w:tc>
      </w:tr>
      <w:tr w14:paraId="565C734A">
        <w:trPr>
          <w:trHeight w:val="1486" w:hRule="atLeast"/>
        </w:trPr>
        <w:tc>
          <w:tcPr>
            <w:tcW w:w="9457" w:type="dxa"/>
            <w:tcBorders>
              <w:top w:val="dotted" w:color="auto" w:sz="4" w:space="0"/>
              <w:bottom w:val="dotted" w:color="auto" w:sz="4" w:space="0"/>
            </w:tcBorders>
          </w:tcPr>
          <w:p w14:paraId="7B83B075">
            <w:pPr>
              <w:ind w:firstLine="480" w:firstLineChars="200"/>
              <w:jc w:val="left"/>
              <w:rPr>
                <w:b/>
                <w:bCs/>
              </w:rPr>
            </w:pPr>
            <w:r>
              <w:rPr>
                <w:rFonts w:hint="eastAsia"/>
                <w:b/>
                <w:bCs/>
              </w:rPr>
              <w:t>引言</w:t>
            </w:r>
          </w:p>
          <w:p w14:paraId="36286100">
            <w:pPr>
              <w:ind w:firstLine="480" w:firstLineChars="200"/>
              <w:jc w:val="left"/>
              <w:rPr>
                <w:rFonts w:hint="eastAsia"/>
                <w:b w:val="0"/>
                <w:bCs w:val="0"/>
              </w:rPr>
            </w:pPr>
            <w:r>
              <w:rPr>
                <w:rFonts w:hint="eastAsia"/>
                <w:b w:val="0"/>
                <w:bCs w:val="0"/>
              </w:rPr>
              <w:t>随着数字政府建设、移动互联网技术发展以及公共服务智能化水平的不断提升，退役军人服务保障工作正逐步由传统线下办理模式向线上化、集成化与智能化方向转变</w:t>
            </w:r>
            <w:r>
              <w:rPr>
                <w:rFonts w:hint="eastAsia"/>
                <w:b w:val="0"/>
                <w:bCs w:val="0"/>
                <w:lang w:eastAsia="zh-CN"/>
              </w:rPr>
              <w:t>，</w:t>
            </w:r>
            <w:r>
              <w:rPr>
                <w:rFonts w:hint="eastAsia"/>
                <w:b w:val="0"/>
                <w:bCs w:val="0"/>
              </w:rPr>
              <w:t>如何借助现代信息技术构建高效、便捷、精准的服务平台，已成为当前相关研究与应用实践的重要内容。在此背景下，对退役军人服务系统、小程序平台开发、云开发架构、移动政务服务以及智能问答辅助等方面的文献进行系统梳理，具有较强的理论意义与现实价值。本文献综述的撰写，旨在通过对国内外相关研究成果的整理与分析，总结智慧政务、移动服务平台、用户信息管理、行为激励机制及智能交互技术在退役军人服务场景中的应用现状，明确现有研究的主要思路、技术路径与存在不足，为本课题“退役军人综合服务小程序”的系统设计与论文写作提供理论依据和方法参考。</w:t>
            </w:r>
          </w:p>
          <w:p w14:paraId="2EE25341">
            <w:pPr>
              <w:ind w:firstLine="480" w:firstLineChars="200"/>
              <w:jc w:val="left"/>
              <w:rPr>
                <w:b/>
                <w:bCs/>
              </w:rPr>
            </w:pPr>
            <w:r>
              <w:rPr>
                <w:rFonts w:hint="eastAsia"/>
                <w:b/>
                <w:bCs/>
              </w:rPr>
              <w:t>正文</w:t>
            </w:r>
          </w:p>
          <w:p w14:paraId="515631D3">
            <w:pPr>
              <w:ind w:firstLine="480" w:firstLineChars="200"/>
              <w:jc w:val="left"/>
            </w:pPr>
            <w:r>
              <w:rPr>
                <w:rFonts w:hint="eastAsia"/>
              </w:rPr>
              <w:t>一、</w:t>
            </w:r>
            <w:r>
              <w:rPr>
                <w:rFonts w:hint="eastAsia"/>
              </w:rPr>
              <w:tab/>
            </w:r>
            <w:r>
              <w:rPr>
                <w:rFonts w:hint="eastAsia"/>
                <w:lang w:val="en-US" w:eastAsia="zh-CN"/>
              </w:rPr>
              <w:t>退役军人服务的</w:t>
            </w:r>
            <w:r>
              <w:rPr>
                <w:rFonts w:hint="eastAsia"/>
              </w:rPr>
              <w:t>研究</w:t>
            </w:r>
          </w:p>
          <w:p w14:paraId="72C247A9">
            <w:pPr>
              <w:ind w:firstLine="480" w:firstLineChars="200"/>
              <w:jc w:val="left"/>
            </w:pPr>
            <w:r>
              <w:rPr>
                <w:rFonts w:hint="eastAsia"/>
              </w:rPr>
              <w:t>1.</w:t>
            </w:r>
            <w:r>
              <w:rPr>
                <w:rFonts w:hint="eastAsia"/>
              </w:rPr>
              <w:tab/>
            </w:r>
            <w:r>
              <w:rPr>
                <w:rFonts w:hint="eastAsia"/>
              </w:rPr>
              <w:t>国外</w:t>
            </w:r>
            <w:r>
              <w:rPr>
                <w:rFonts w:hint="eastAsia"/>
                <w:lang w:val="en-US" w:eastAsia="zh-CN"/>
              </w:rPr>
              <w:t>研究</w:t>
            </w:r>
            <w:r>
              <w:rPr>
                <w:rFonts w:hint="eastAsia"/>
              </w:rPr>
              <w:t>状况</w:t>
            </w:r>
          </w:p>
          <w:p w14:paraId="3AF95F3F">
            <w:pPr>
              <w:ind w:firstLine="480" w:firstLineChars="200"/>
              <w:jc w:val="left"/>
              <w:rPr>
                <w:rFonts w:hint="eastAsia"/>
              </w:rPr>
            </w:pPr>
            <w:r>
              <w:rPr>
                <w:rFonts w:hint="eastAsia"/>
              </w:rPr>
              <w:t>从国外相关研究与实践来看，退役军人服务体系的信息化建设起步较早，整体上已经由传统的线下窗口服务逐步转向“统一入口、在线办理、移动接入、智能辅助”的综合服务模式。美国退役军人事务部（VA）较早推进退役军人服务数字化建设，围绕福利申领、健康管理、身份认证、材料上传和进度查询等业务，持续完善在线自助服务能力。2024年，VA对 Claim Status Tool 进行升级，使退役军人能够通过网页端或移动端全天候查询申请状态、上传补充材料并下载决定文件，体现出退役军人服务向全过程线上化、透明化发展的趋势。同时，VA 还建设了较为成熟的设计规范体系，强调通过统一组件、内容规范和无障碍标准，打造“以退役军人为中心”的一致化数字服务体验，这表明国外退役军人服务研究已不仅关注“能否上网办”，而更加重视“是否好用、是否易懂、是否持续可达”</w:t>
            </w:r>
            <w:r>
              <w:rPr>
                <w:rFonts w:hint="eastAsia"/>
                <w:vertAlign w:val="superscript"/>
              </w:rPr>
              <w:t>[</w:t>
            </w:r>
            <w:r>
              <w:rPr>
                <w:rFonts w:hint="default"/>
                <w:vertAlign w:val="superscript"/>
                <w:lang w:val="en-US"/>
              </w:rPr>
              <w:t>1</w:t>
            </w:r>
            <w:r>
              <w:rPr>
                <w:rFonts w:hint="eastAsia"/>
                <w:vertAlign w:val="superscript"/>
              </w:rPr>
              <w:t>]</w:t>
            </w:r>
            <w:r>
              <w:rPr>
                <w:rFonts w:hint="eastAsia"/>
              </w:rPr>
              <w:t>。</w:t>
            </w:r>
          </w:p>
          <w:p w14:paraId="722AF584">
            <w:pPr>
              <w:ind w:firstLine="480" w:firstLineChars="200"/>
              <w:jc w:val="left"/>
              <w:rPr>
                <w:rFonts w:hint="eastAsia"/>
              </w:rPr>
            </w:pPr>
            <w:r>
              <w:rPr>
                <w:rFonts w:hint="eastAsia"/>
              </w:rPr>
              <w:t>除官方平台建设外，国外学术研究也较多关注数字技术在退役军人服务中的实际接受度与使用效果。Hogan 等对美国退役军人健康类 Web 与移动应用使用情况进行调查后发现，系统推广与医疗团队推荐会显著提升退役军人对数字应用的使用意愿，这说明退役军人数字服务的成效不仅取决于技术本身，还依赖于平台可信度、服务引导与组织支持</w:t>
            </w:r>
            <w:r>
              <w:rPr>
                <w:rFonts w:hint="eastAsia"/>
                <w:vertAlign w:val="superscript"/>
              </w:rPr>
              <w:t>[</w:t>
            </w:r>
            <w:r>
              <w:rPr>
                <w:rFonts w:hint="default"/>
                <w:vertAlign w:val="superscript"/>
                <w:lang w:val="en-US"/>
              </w:rPr>
              <w:t>2</w:t>
            </w:r>
            <w:r>
              <w:rPr>
                <w:rFonts w:hint="eastAsia"/>
                <w:vertAlign w:val="superscript"/>
              </w:rPr>
              <w:t>]</w:t>
            </w:r>
            <w:r>
              <w:rPr>
                <w:rFonts w:hint="eastAsia"/>
              </w:rPr>
              <w:t>。Walker 等针对加拿大退役军人远程医疗体验的研究指出，远程服务在减少出行负担、缓解就医障碍、扩大服务覆盖面方面具有明显优势，但在复杂诊疗和深度沟通场景中仍存在局限</w:t>
            </w:r>
            <w:r>
              <w:rPr>
                <w:rFonts w:hint="eastAsia" w:eastAsia="宋体"/>
                <w:vertAlign w:val="superscript"/>
              </w:rPr>
              <w:t>[</w:t>
            </w:r>
            <w:r>
              <w:rPr>
                <w:rFonts w:hint="default" w:eastAsia="宋体"/>
                <w:vertAlign w:val="superscript"/>
                <w:lang w:val="en-US"/>
              </w:rPr>
              <w:t>3</w:t>
            </w:r>
            <w:r>
              <w:rPr>
                <w:rFonts w:hint="eastAsia" w:eastAsia="宋体"/>
                <w:vertAlign w:val="superscript"/>
              </w:rPr>
              <w:t>]</w:t>
            </w:r>
            <w:r>
              <w:rPr>
                <w:rFonts w:hint="eastAsia"/>
              </w:rPr>
              <w:t>。由此可见，国外研究已从单纯的信息化建设，进一步拓展到服务体验、技术接受、持续使用和服务边界等问题。</w:t>
            </w:r>
          </w:p>
          <w:p w14:paraId="448541A6">
            <w:pPr>
              <w:ind w:firstLine="480" w:firstLineChars="200"/>
              <w:jc w:val="left"/>
              <w:rPr>
                <w:rFonts w:hint="eastAsia"/>
              </w:rPr>
            </w:pPr>
            <w:r>
              <w:rPr>
                <w:rFonts w:hint="eastAsia"/>
              </w:rPr>
              <w:t>英国和澳大利亚的退役军人数字服务建设同样具有代表性。英国政府于2022年上线武装部队补偿与战争抚恤在线申领服务，支持用户在线填写申请、保存进度、上传证明材料，并以“用户需求”为导向优化流程。此后，英国又持续推进 Veterans’ Gateway 平台整合，使其成为退役军人获取福利、住房、就业与健康支持的重要入口；2025年推出数字版 Veteran Card，进一步推动身份认证与公共服务获取的数字化衔接。澳大利亚退役军人事务部则通过 MyService 平台，为退役军人提供申请提交、进度跟踪、个人信息更新、电子 Veteran Card 调用、消息沟通等在线服务，体现出较高程度的业务集成与移动化水平。总体而言，国外相关研究与实践的主要特点在于：一是强调统一入口和跨业务整合；二是重视用户需求导向和服务体验设计；三是逐步形成以数字身份、在线申办和移动端服务为核心的服务模式。</w:t>
            </w:r>
          </w:p>
          <w:p w14:paraId="33B2CD66">
            <w:pPr>
              <w:ind w:firstLine="480" w:firstLineChars="200"/>
              <w:jc w:val="left"/>
            </w:pPr>
            <w:r>
              <w:rPr>
                <w:rFonts w:hint="eastAsia"/>
              </w:rPr>
              <w:t>2.</w:t>
            </w:r>
            <w:r>
              <w:rPr>
                <w:rFonts w:hint="eastAsia"/>
              </w:rPr>
              <w:tab/>
            </w:r>
            <w:r>
              <w:rPr>
                <w:rFonts w:hint="eastAsia"/>
              </w:rPr>
              <w:t>国内</w:t>
            </w:r>
            <w:r>
              <w:rPr>
                <w:rFonts w:hint="eastAsia"/>
                <w:lang w:val="en-US" w:eastAsia="zh-CN"/>
              </w:rPr>
              <w:t>研究</w:t>
            </w:r>
            <w:r>
              <w:rPr>
                <w:rFonts w:hint="eastAsia"/>
              </w:rPr>
              <w:t>状况</w:t>
            </w:r>
          </w:p>
          <w:p w14:paraId="2605FC87">
            <w:pPr>
              <w:ind w:firstLine="480" w:firstLineChars="200"/>
              <w:jc w:val="left"/>
              <w:rPr>
                <w:rFonts w:hint="eastAsia"/>
              </w:rPr>
            </w:pPr>
            <w:r>
              <w:rPr>
                <w:rFonts w:hint="eastAsia"/>
              </w:rPr>
              <w:t>国内关于退役军人服务的研究起步相对较晚，但近年来发展迅速，尤其是在退役军人事务部组建后，相关研究逐步从政策保障、权益维护和服务体系建设，拓展到信息化平台建设、数字政务融合和精准服务模式创新等方向。2021年，退役军人事务部印发《关于加强退役军人事务信息化建设的指导意见》，明确提出构建“统一、智慧、融合、便捷、可靠”的退役军人事务信息化体系，实现“一库同享”“一台统管”“一网通办”，并强调数据共享利用、智慧化服务和个人信息安全保障。2022年印发的《“十四五”退役军人事务信息化规划》进一步提出建设全国退役军人综合信息数据库、统一管理平台、网上“退役军人之家”、退役军人电子档案、线上就业创业服务以及电子优待证等内容，标志着我国退役军人服务研究与实践进入体系化、平台化推进阶段</w:t>
            </w:r>
            <w:r>
              <w:rPr>
                <w:rFonts w:hint="eastAsia" w:eastAsia="宋体"/>
                <w:vertAlign w:val="superscript"/>
              </w:rPr>
              <w:t>[</w:t>
            </w:r>
            <w:r>
              <w:rPr>
                <w:rFonts w:hint="eastAsia" w:eastAsia="宋体"/>
                <w:vertAlign w:val="superscript"/>
                <w:lang w:val="en-US" w:eastAsia="zh-CN"/>
              </w:rPr>
              <w:t>4</w:t>
            </w:r>
            <w:r>
              <w:rPr>
                <w:rFonts w:hint="eastAsia" w:eastAsia="宋体"/>
                <w:vertAlign w:val="superscript"/>
              </w:rPr>
              <w:t>]</w:t>
            </w:r>
            <w:r>
              <w:rPr>
                <w:rFonts w:hint="eastAsia"/>
              </w:rPr>
              <w:t>。</w:t>
            </w:r>
          </w:p>
          <w:p w14:paraId="5C60B473">
            <w:pPr>
              <w:ind w:firstLine="480" w:firstLineChars="200"/>
              <w:jc w:val="left"/>
              <w:rPr>
                <w:rFonts w:hint="eastAsia"/>
              </w:rPr>
            </w:pPr>
            <w:r>
              <w:rPr>
                <w:rFonts w:hint="eastAsia"/>
              </w:rPr>
              <w:t>在地方实践层面，国内退役军人数字化服务探索不断深化。黑龙江省围绕“高效办成一件事”改革，将退役报到、一次性经济补助、自主就业职业技能培训、就业创业指导、社会保险登记等13个事项集成线上办理，并在办理时限、材料数量和跑动次数方面实现明显压缩，体现出退役军人服务从分散办理向集成办理转变的改革方向</w:t>
            </w:r>
            <w:r>
              <w:rPr>
                <w:rFonts w:hint="eastAsia" w:eastAsia="宋体"/>
                <w:vertAlign w:val="superscript"/>
              </w:rPr>
              <w:t>[</w:t>
            </w:r>
            <w:r>
              <w:rPr>
                <w:rFonts w:hint="eastAsia" w:eastAsia="宋体"/>
                <w:vertAlign w:val="superscript"/>
                <w:lang w:val="en-US" w:eastAsia="zh-CN"/>
              </w:rPr>
              <w:t>5</w:t>
            </w:r>
            <w:r>
              <w:rPr>
                <w:rFonts w:hint="eastAsia" w:eastAsia="宋体"/>
                <w:vertAlign w:val="superscript"/>
              </w:rPr>
              <w:t>]</w:t>
            </w:r>
            <w:r>
              <w:rPr>
                <w:rFonts w:hint="eastAsia"/>
              </w:rPr>
              <w:t>。上海宝山区则依托“一网通办”改革，在退役军人服务中心设立“一件事”窗口，通过“一表申请”“一套材料”“一窗受理”等方式，将退役相关事项整合为一站式服务，提升了退役军人办事效率与体验。西安市上线“古都退役军人”微信小程序，为退役军人提供求职招聘、就业培训、优抚优待等掌上综合服务，说明微信小程序等轻量化移动载体已逐渐成为退役军人服务的重要技术路径。</w:t>
            </w:r>
          </w:p>
          <w:p w14:paraId="020147D9">
            <w:pPr>
              <w:ind w:firstLine="480" w:firstLineChars="200"/>
              <w:jc w:val="left"/>
              <w:rPr>
                <w:rFonts w:hint="eastAsia"/>
              </w:rPr>
            </w:pPr>
            <w:r>
              <w:rPr>
                <w:rFonts w:hint="eastAsia"/>
              </w:rPr>
              <w:t>除退役军人专属服务研究外，国内学界和政务实践还从更广义的数字政府建设角度，为退役军人服务平台研究提供了方法借鉴。湖南省在“一件事一次办”微信小程序推广中指出，小程序已逐步成为群众掌上办事的重要入口，并通过市县乡村五级联动、平台对接和场景扩展提升政务服务便利度。卢军宇在《政务服务平台中智能客服系统的构建研究》中提出，智能客服在政务场景中能够承担政策查询、办事指引、业务解答和多渠道接入等功能，同时需要兼顾知识更新、交互易用性和数据安全。这些研究和实践说明，当前国内研究已逐步认识到，退役军人服务平台不应停留在信息发布层面，而应向移动化、场景化和智能化方向持续演进。</w:t>
            </w:r>
          </w:p>
          <w:p w14:paraId="2D4390F6">
            <w:pPr>
              <w:ind w:firstLine="480" w:firstLineChars="200"/>
              <w:jc w:val="left"/>
            </w:pPr>
            <w:r>
              <w:rPr>
                <w:rFonts w:hint="eastAsia"/>
              </w:rPr>
              <w:t>3.</w:t>
            </w:r>
            <w:r>
              <w:rPr>
                <w:rFonts w:hint="eastAsia"/>
              </w:rPr>
              <w:tab/>
            </w:r>
            <w:r>
              <w:rPr>
                <w:rFonts w:hint="eastAsia"/>
              </w:rPr>
              <w:t>国内</w:t>
            </w:r>
            <w:r>
              <w:rPr>
                <w:rFonts w:hint="eastAsia"/>
                <w:lang w:val="en-US" w:eastAsia="zh-CN"/>
              </w:rPr>
              <w:t>外</w:t>
            </w:r>
            <w:r>
              <w:rPr>
                <w:rFonts w:hint="eastAsia"/>
              </w:rPr>
              <w:t>研究综述</w:t>
            </w:r>
          </w:p>
          <w:p w14:paraId="1C3443CA">
            <w:pPr>
              <w:ind w:firstLine="480" w:firstLineChars="200"/>
              <w:jc w:val="left"/>
            </w:pPr>
            <w:r>
              <w:rPr>
                <w:rFonts w:hint="default"/>
              </w:rPr>
              <w:t>综合国内外文献可以看出，退役军人服务研究正在从传统的政策保障与行政管理研究，逐步转向以数字技术赋能公共服务优化的综合研究。国外研究总体起步较早，已经形成了较成熟的线上申办、移动接入、数字身份认证和远程服务体系，研究重点更加关注用户体验、服务连续性、技术接受度以及数字工具对服务可达性的改善。相比之下，国内研究虽然起步稍晚，但依托数字政府、“高效办成一件事”和退役军人服务保障体系建设，已经在制度设计、平台整合和地方实践层面取得较快进展</w:t>
            </w:r>
            <w:bookmarkStart w:id="3" w:name="_GoBack"/>
            <w:bookmarkEnd w:id="3"/>
            <w:r>
              <w:rPr>
                <w:rFonts w:hint="default"/>
              </w:rPr>
              <w:t>。</w:t>
            </w:r>
          </w:p>
          <w:p w14:paraId="43E4B649">
            <w:pPr>
              <w:ind w:firstLine="480" w:firstLineChars="200"/>
              <w:jc w:val="left"/>
              <w:rPr>
                <w:rFonts w:hint="default"/>
              </w:rPr>
            </w:pPr>
            <w:r>
              <w:rPr>
                <w:rFonts w:hint="default"/>
              </w:rPr>
              <w:t>但从现有研究成果来看，仍然存在一些不足。第一，宏观制度研究较多，而面向退役军人高频业务场景的系统化应用研究相对不足，尤其缺乏从用户视角出发，对“退役报到—政策获取—就业培训—优抚服务—个人成长记录—智能咨询”全过程进行一体化设计的研究。第二，现有研究多聚焦单一事项或单一区域实践，对多模块融合、跨业务协同、数据联动和连续服务机制的讨论还不够深入。第三，关于智能问答、个性化推荐、移动端交互体验等新技术在退役军人服务场景中的应用研究仍处于探索阶段，尚未形成统一、成熟、可复制的实现范式</w:t>
            </w:r>
            <w:r>
              <w:rPr>
                <w:rFonts w:hint="default" w:eastAsia="宋体"/>
                <w:vertAlign w:val="superscript"/>
              </w:rPr>
              <w:t>[</w:t>
            </w:r>
            <w:r>
              <w:rPr>
                <w:rFonts w:hint="eastAsia" w:eastAsia="宋体"/>
                <w:vertAlign w:val="superscript"/>
                <w:lang w:val="en-US" w:eastAsia="zh-CN"/>
              </w:rPr>
              <w:t>6</w:t>
            </w:r>
            <w:r>
              <w:rPr>
                <w:rFonts w:hint="default" w:eastAsia="宋体"/>
                <w:vertAlign w:val="superscript"/>
              </w:rPr>
              <w:t>]</w:t>
            </w:r>
            <w:r>
              <w:rPr>
                <w:rFonts w:hint="default"/>
              </w:rPr>
              <w:t>。</w:t>
            </w:r>
          </w:p>
          <w:p w14:paraId="065804E3">
            <w:pPr>
              <w:ind w:firstLine="480" w:firstLineChars="200"/>
              <w:jc w:val="left"/>
            </w:pPr>
            <w:r>
              <w:rPr>
                <w:rFonts w:hint="default"/>
              </w:rPr>
              <w:t>基于上述研究现状，本文结合微信小程序的轻量化特点与云开发架构优势，围绕退役军人高频需求，设计并实现集退伍指引、资讯获取、就业创业培训、拥军优抚、军魂记录、健康管理和智能问答于一体的综合服务平台。该研究既是在现有退役军人服务保障数字化研究基础上的具体应用延伸，也是对“移动化、集成化、智能化”退役军人服务模式的一次实践探索，具有一定的现实意义和应用价值。</w:t>
            </w:r>
          </w:p>
          <w:p w14:paraId="3CA46D58">
            <w:pPr>
              <w:ind w:firstLine="480" w:firstLineChars="200"/>
              <w:jc w:val="left"/>
            </w:pPr>
            <w:r>
              <w:rPr>
                <w:rFonts w:hint="eastAsia"/>
              </w:rPr>
              <w:t>二、</w:t>
            </w:r>
            <w:r>
              <w:rPr>
                <w:rFonts w:hint="eastAsia"/>
              </w:rPr>
              <w:tab/>
            </w:r>
            <w:r>
              <w:rPr>
                <w:rFonts w:hint="eastAsia"/>
                <w:lang w:val="en-US" w:eastAsia="zh-CN"/>
              </w:rPr>
              <w:t>退役军人服务小程序</w:t>
            </w:r>
            <w:r>
              <w:rPr>
                <w:rFonts w:hint="eastAsia"/>
              </w:rPr>
              <w:t>开发思路</w:t>
            </w:r>
          </w:p>
          <w:p w14:paraId="79370520">
            <w:pPr>
              <w:ind w:firstLine="480" w:firstLineChars="200"/>
              <w:jc w:val="left"/>
            </w:pPr>
            <w:r>
              <w:rPr>
                <w:rFonts w:hint="eastAsia"/>
              </w:rPr>
              <w:t>1.</w:t>
            </w:r>
            <w:r>
              <w:rPr>
                <w:rFonts w:hint="eastAsia"/>
              </w:rPr>
              <w:tab/>
            </w:r>
            <w:r>
              <w:rPr>
                <w:rFonts w:hint="eastAsia"/>
              </w:rPr>
              <w:t>基本思路</w:t>
            </w:r>
          </w:p>
          <w:p w14:paraId="19DAB231">
            <w:pPr>
              <w:ind w:firstLine="480" w:firstLineChars="200"/>
              <w:jc w:val="left"/>
              <w:rPr>
                <w:rFonts w:hint="eastAsia"/>
              </w:rPr>
            </w:pPr>
            <w:r>
              <w:rPr>
                <w:rFonts w:hint="eastAsia"/>
                <w:lang w:val="en-US" w:eastAsia="zh-CN"/>
              </w:rPr>
              <w:t>针对本课题所设计的退役军人服务系统及其实际运行环境，结合退役军人用户群体的使用特点、业务办理需求以及微信小程序平台的技术条件，本文初步确定系统开发应满足以下几个方面的要求：</w:t>
            </w:r>
          </w:p>
          <w:p w14:paraId="1A056A36">
            <w:pPr>
              <w:ind w:firstLine="480" w:firstLineChars="200"/>
              <w:jc w:val="left"/>
            </w:pPr>
            <w:r>
              <w:rPr>
                <w:rFonts w:hint="eastAsia"/>
              </w:rPr>
              <w:t>1)</w:t>
            </w:r>
            <w:r>
              <w:rPr>
                <w:rFonts w:hint="eastAsia"/>
              </w:rPr>
              <w:tab/>
            </w:r>
            <w:r>
              <w:rPr>
                <w:rFonts w:hint="eastAsia"/>
              </w:rPr>
              <w:t>用户界面应简洁直观，符合移动端使用习惯。退役军人服务系统面向的用户群体覆盖面较广，在年龄结构、信息化操作能力和使用习惯上存在一定差异，因此系统界面设计应尽量简明统一，突出重点功能入口，降低学习成本和操作门槛。在视觉设计上应保持页面风格一致、色彩搭配协调、信息层级清晰，使用户能够快速定位所需服务内容。在交互设计上，应尽可能减少复杂跳转和重复输入</w:t>
            </w:r>
            <w:r>
              <w:rPr>
                <w:rFonts w:hint="eastAsia"/>
                <w:lang w:eastAsia="zh-CN"/>
              </w:rPr>
              <w:t>，</w:t>
            </w:r>
            <w:r>
              <w:rPr>
                <w:rFonts w:hint="eastAsia"/>
              </w:rPr>
              <w:t>从而增强用户的操作效率与使用体验。</w:t>
            </w:r>
          </w:p>
          <w:p w14:paraId="64A229A3">
            <w:pPr>
              <w:ind w:firstLine="480" w:firstLineChars="200"/>
              <w:jc w:val="left"/>
              <w:rPr>
                <w:rFonts w:hint="eastAsia"/>
              </w:rPr>
            </w:pPr>
            <w:r>
              <w:rPr>
                <w:rFonts w:hint="eastAsia"/>
              </w:rPr>
              <w:t>2)</w:t>
            </w:r>
            <w:r>
              <w:rPr>
                <w:rFonts w:hint="eastAsia"/>
              </w:rPr>
              <w:tab/>
            </w:r>
            <w:r>
              <w:rPr>
                <w:rFonts w:hint="eastAsia"/>
              </w:rPr>
              <w:t>系统功能设计应紧密围绕退役军人实际需求展开。与一般信息展示类系统不同，本课题所开发的系统并非单纯提供静态资讯，而是围绕退役军人退伍报到、就业创业、教育培训、优抚服务、个人成长记录、健康管理和政策咨询等高频业务场景进行功能整合。因此，在功能设计上应突出针对性、实用性和连续性，使系统能够真正服务于退役军人日常办事和生活发展需要。</w:t>
            </w:r>
          </w:p>
          <w:p w14:paraId="42EC5858">
            <w:pPr>
              <w:ind w:firstLine="480" w:firstLineChars="200"/>
              <w:jc w:val="left"/>
              <w:rPr>
                <w:rFonts w:hint="eastAsia"/>
              </w:rPr>
            </w:pPr>
            <w:r>
              <w:rPr>
                <w:rFonts w:hint="eastAsia"/>
              </w:rPr>
              <w:t>3)</w:t>
            </w:r>
            <w:r>
              <w:rPr>
                <w:rFonts w:hint="eastAsia"/>
              </w:rPr>
              <w:tab/>
            </w:r>
            <w:r>
              <w:rPr>
                <w:rFonts w:hint="eastAsia"/>
              </w:rPr>
              <w:t>系统应具备良好的可扩展性、安全性和维护性。退役军人服务工作具有较强的政策性和地区差异性，相关业务内容、服务流程和数据结构可能随着政策调整和实际需求不断变化。因此，系统在设计时应采用模块化和分层化思路，将前端页面、业务逻辑、云函数接口和云数据库集合相对解耦，便于后续新增功能模块或调整原有流程。同时，系统还应重视用户隐私保护和数据安全，通过云函数统一处理核心业务请求、基于用户身份标识进行数据隔离、对关键输入参数进行校验，从而保证系统运行的安全性与稳定性。</w:t>
            </w:r>
          </w:p>
          <w:p w14:paraId="7685BFEE">
            <w:pPr>
              <w:ind w:firstLine="480" w:firstLineChars="200"/>
              <w:jc w:val="left"/>
            </w:pPr>
            <w:r>
              <w:rPr>
                <w:rFonts w:hint="eastAsia"/>
              </w:rPr>
              <w:t>三、</w:t>
            </w:r>
            <w:r>
              <w:rPr>
                <w:rFonts w:hint="eastAsia"/>
              </w:rPr>
              <w:tab/>
            </w:r>
            <w:r>
              <w:rPr>
                <w:rFonts w:hint="eastAsia"/>
              </w:rPr>
              <w:t>相关关键技术总结</w:t>
            </w:r>
          </w:p>
          <w:p w14:paraId="15951EF0">
            <w:pPr>
              <w:ind w:firstLine="480" w:firstLineChars="200"/>
              <w:jc w:val="left"/>
            </w:pPr>
            <w:r>
              <w:rPr>
                <w:rFonts w:hint="eastAsia"/>
              </w:rPr>
              <w:t>（1）</w:t>
            </w:r>
            <w:r>
              <w:rPr>
                <w:rFonts w:hint="eastAsia"/>
                <w:lang w:val="en-US" w:eastAsia="zh-CN"/>
              </w:rPr>
              <w:t>微信小程序技术：</w:t>
            </w:r>
            <w:r>
              <w:rPr>
                <w:lang w:val="en-US" w:eastAsia="zh-CN"/>
              </w:rPr>
              <w:t>微信小程序是一种依托微信生态运行的轻量化应用形态，具有无需下载安装、使用便捷、传播成本低和用户触达能力强等特点，尤其适合政务服务、公共服务和生活服务类场景建设</w:t>
            </w:r>
            <w:r>
              <w:rPr>
                <w:rFonts w:hint="eastAsia" w:eastAsia="宋体"/>
                <w:vertAlign w:val="superscript"/>
                <w:lang w:val="en-US" w:eastAsia="zh-CN"/>
              </w:rPr>
              <w:t>[7]</w:t>
            </w:r>
            <w:r>
              <w:rPr>
                <w:lang w:val="en-US" w:eastAsia="zh-CN"/>
              </w:rPr>
              <w:t>。本系统以微信小程序作为运行载体，能够充分利用微信平台已有的用户基础和原生能力，实现页面跳转、本地缓存、定位授权、手机号能力调用、消息提示等功能，从而提升系统的实际可用性。对于退役军人服务场景而言，微信小程序能够有效降低访问门槛，使用户通过手机即可完成政策查看、服务查询和业务办理，具有较强的现实应用价值。</w:t>
            </w:r>
          </w:p>
          <w:p w14:paraId="26358568">
            <w:pPr>
              <w:ind w:firstLine="480" w:firstLineChars="200"/>
              <w:jc w:val="left"/>
              <w:rPr>
                <w:rFonts w:hint="eastAsia"/>
              </w:rPr>
            </w:pPr>
            <w:r>
              <w:rPr>
                <w:rFonts w:hint="eastAsia"/>
              </w:rPr>
              <w:t>（2）Taro 框架</w:t>
            </w:r>
            <w:r>
              <w:rPr>
                <w:rFonts w:hint="eastAsia"/>
                <w:lang w:eastAsia="zh-CN"/>
              </w:rPr>
              <w:t>：</w:t>
            </w:r>
            <w:r>
              <w:rPr>
                <w:rFonts w:hint="eastAsia"/>
              </w:rPr>
              <w:t>Taro 是一套开放式跨端开发框架，支持开发者使用 React 等主流前端技术编写代码，并编译到微信小程序、H5 等多种运行平台</w:t>
            </w:r>
            <w:r>
              <w:rPr>
                <w:rFonts w:hint="eastAsia" w:eastAsia="宋体"/>
                <w:vertAlign w:val="superscript"/>
              </w:rPr>
              <w:t>[</w:t>
            </w:r>
            <w:r>
              <w:rPr>
                <w:rFonts w:hint="eastAsia" w:eastAsia="宋体"/>
                <w:vertAlign w:val="superscript"/>
                <w:lang w:val="en-US" w:eastAsia="zh-CN"/>
              </w:rPr>
              <w:t>8</w:t>
            </w:r>
            <w:r>
              <w:rPr>
                <w:rFonts w:hint="eastAsia" w:eastAsia="宋体"/>
                <w:vertAlign w:val="superscript"/>
              </w:rPr>
              <w:t>]</w:t>
            </w:r>
            <w:r>
              <w:rPr>
                <w:rFonts w:hint="eastAsia"/>
              </w:rPr>
              <w:t>。本系统采用 Taro 作为前端开发框架，既能够保留 React 的组件化开发优势</w:t>
            </w:r>
            <w:r>
              <w:rPr>
                <w:rFonts w:hint="default" w:eastAsia="宋体"/>
                <w:vertAlign w:val="superscript"/>
                <w:lang w:val="en-US"/>
              </w:rPr>
              <w:t>[9]</w:t>
            </w:r>
            <w:r>
              <w:rPr>
                <w:rFonts w:hint="eastAsia"/>
              </w:rPr>
              <w:t>，又能够适配微信小程序的运行机制。在实际开发过程中，Taro 提供了统一的页面组织方式、路由跳转能力和跨端组件封装方式，使项目结构更加清晰，页面模块开发更加规范。对于本课题而言，Taro 不仅提高了开发效率，也为系统后续功能扩展和平台迁移提供了良好的技术基础。</w:t>
            </w:r>
          </w:p>
          <w:p w14:paraId="387488E2">
            <w:pPr>
              <w:numPr>
                <w:ilvl w:val="0"/>
                <w:numId w:val="1"/>
              </w:numPr>
              <w:ind w:firstLine="480" w:firstLineChars="200"/>
              <w:jc w:val="left"/>
            </w:pPr>
            <w:r>
              <w:rPr>
                <w:rFonts w:hint="eastAsia"/>
              </w:rPr>
              <w:t>微信云开发技术</w:t>
            </w:r>
            <w:r>
              <w:rPr>
                <w:rFonts w:hint="eastAsia"/>
                <w:lang w:eastAsia="zh-CN"/>
              </w:rPr>
              <w:t>：</w:t>
            </w:r>
            <w:r>
              <w:rPr>
                <w:rFonts w:hint="eastAsia"/>
              </w:rPr>
              <w:t>微信云开发集成了云函数、云数据库、云存储和身份鉴权等能力，能够帮助开发者在无需自建传统服务器的情况下快速构建完整的小程序后端</w:t>
            </w:r>
            <w:r>
              <w:rPr>
                <w:rFonts w:hint="eastAsia" w:eastAsia="宋体"/>
                <w:vertAlign w:val="superscript"/>
              </w:rPr>
              <w:t>[</w:t>
            </w:r>
            <w:r>
              <w:rPr>
                <w:rFonts w:hint="default" w:eastAsia="宋体"/>
                <w:vertAlign w:val="superscript"/>
                <w:lang w:val="en-US"/>
              </w:rPr>
              <w:t>1</w:t>
            </w:r>
            <w:r>
              <w:rPr>
                <w:rFonts w:hint="eastAsia" w:eastAsia="宋体"/>
                <w:vertAlign w:val="superscript"/>
              </w:rPr>
              <w:t>0]</w:t>
            </w:r>
            <w:r>
              <w:rPr>
                <w:rFonts w:hint="eastAsia"/>
              </w:rPr>
              <w:t>。本系统将云开发作为核心后端支撑方案，利用云数据库存储数据；利用云函数完成登录校验、数据聚合、业务写入、状态更新和智能问答接口转发等逻辑处理；利用云存储实现图片资源上传与访问。该技术方案较好地降低了后端开发复杂度，提高了系统开发效率，也增强了系统部署和维护的便利性。</w:t>
            </w:r>
          </w:p>
          <w:p w14:paraId="2D8EEE7D">
            <w:pPr>
              <w:numPr>
                <w:ilvl w:val="0"/>
                <w:numId w:val="1"/>
              </w:numPr>
              <w:ind w:firstLine="480" w:firstLineChars="200"/>
              <w:jc w:val="left"/>
            </w:pPr>
            <w:r>
              <w:rPr>
                <w:rFonts w:hint="eastAsia"/>
              </w:rPr>
              <w:t>AI 智能问答技术</w:t>
            </w:r>
            <w:r>
              <w:rPr>
                <w:rFonts w:hint="eastAsia"/>
                <w:lang w:eastAsia="zh-CN"/>
              </w:rPr>
              <w:t>：着大语言模型技术的发展，基于自然语言理解与生成的智能问答系统在公共服务领域具有越来越明显的应用优势[</w:t>
            </w:r>
            <w:r>
              <w:rPr>
                <w:rFonts w:hint="default"/>
                <w:lang w:val="en-US" w:eastAsia="zh-CN"/>
              </w:rPr>
              <w:t>1</w:t>
            </w:r>
            <w:r>
              <w:rPr>
                <w:rFonts w:hint="eastAsia"/>
                <w:lang w:eastAsia="zh-CN"/>
              </w:rPr>
              <w:t>1]。本系统在退役军人政策咨询场景中引入 AI 智能问答能力，使用户能够通过自然语言直接提出问题，系统再结合预设提示词、上下文裁剪和云函数转发机制返回结果。与传统静态页面检索方式相比，智能问答更加符合用户日常交流习惯，有助于降低政策获取门槛，提升平台交互性与服务深度。从系统设计角度看，AI 模块的接入不仅增强了平台的智能化水平，也提升了本课题在功能创新方面的研究价值。</w:t>
            </w:r>
          </w:p>
          <w:p w14:paraId="39C25026">
            <w:pPr>
              <w:ind w:firstLine="480" w:firstLineChars="200"/>
              <w:jc w:val="left"/>
            </w:pPr>
            <w:r>
              <w:rPr>
                <w:rFonts w:hint="eastAsia"/>
              </w:rPr>
              <w:t>四、</w:t>
            </w:r>
            <w:r>
              <w:rPr>
                <w:rFonts w:hint="eastAsia"/>
                <w:lang w:val="en-US" w:eastAsia="zh-CN"/>
              </w:rPr>
              <w:t>退役军人小程序</w:t>
            </w:r>
            <w:r>
              <w:rPr>
                <w:rFonts w:hint="eastAsia"/>
              </w:rPr>
              <w:t>开发与实现过程</w:t>
            </w:r>
          </w:p>
          <w:p w14:paraId="6E899E57">
            <w:pPr>
              <w:ind w:firstLine="480" w:firstLineChars="200"/>
              <w:jc w:val="left"/>
            </w:pPr>
            <w:r>
              <w:rPr>
                <w:rFonts w:hint="eastAsia"/>
              </w:rPr>
              <w:t>1.</w:t>
            </w:r>
            <w:r>
              <w:rPr>
                <w:rFonts w:hint="eastAsia"/>
              </w:rPr>
              <w:tab/>
            </w:r>
            <w:r>
              <w:rPr>
                <w:rFonts w:hint="eastAsia"/>
              </w:rPr>
              <w:t>开发环境</w:t>
            </w:r>
          </w:p>
          <w:p w14:paraId="308C55F5">
            <w:pPr>
              <w:ind w:firstLine="480" w:firstLineChars="200"/>
              <w:jc w:val="left"/>
            </w:pPr>
            <w:r>
              <w:rPr>
                <w:lang w:val="en-US" w:eastAsia="zh-CN"/>
              </w:rPr>
              <w:t>本系统采用前后端一体化的小程序开发模式进行实现。前端部分基于 Taro 4.1.9、React 18 和 TypeScript 5 构建，配合 Sass 完成页面样式编写与组件化开发；后端部分基于微信云开发环境，使用</w:t>
            </w:r>
            <w:r>
              <w:rPr>
                <w:rFonts w:hint="default"/>
                <w:lang w:val="en-US" w:eastAsia="zh-CN"/>
              </w:rPr>
              <w:t> </w:t>
            </w:r>
            <w:r>
              <w:rPr>
                <w:lang w:val="en-US" w:eastAsia="zh-CN"/>
              </w:rPr>
              <w:t>wx-server-sdk</w:t>
            </w:r>
            <w:r>
              <w:rPr>
                <w:rFonts w:hint="default"/>
                <w:lang w:val="en-US" w:eastAsia="zh-CN"/>
              </w:rPr>
              <w:t> 实现云函数调用、数据库操作和文件存储管理。系统开发过程中，主要依托微信开发者工具进行编译、调试、预览与真机测试。整体技术环境轻量、集成度高，较适合本课题这类面向实际应用场景的小程序系统开发。</w:t>
            </w:r>
          </w:p>
          <w:p w14:paraId="12CA76A4">
            <w:pPr>
              <w:ind w:firstLine="480" w:firstLineChars="200"/>
              <w:jc w:val="left"/>
            </w:pPr>
            <w:r>
              <w:rPr>
                <w:rFonts w:hint="eastAsia"/>
              </w:rPr>
              <w:t>2.</w:t>
            </w:r>
            <w:r>
              <w:rPr>
                <w:rFonts w:hint="eastAsia"/>
              </w:rPr>
              <w:tab/>
            </w:r>
            <w:r>
              <w:rPr>
                <w:rFonts w:hint="eastAsia"/>
              </w:rPr>
              <w:t>实现过程</w:t>
            </w:r>
          </w:p>
          <w:p w14:paraId="4696E078">
            <w:pPr>
              <w:ind w:firstLine="480" w:firstLineChars="200"/>
              <w:jc w:val="left"/>
              <w:rPr>
                <w:rFonts w:hint="eastAsia" w:eastAsia="宋体"/>
                <w:lang w:eastAsia="zh-CN"/>
              </w:rPr>
            </w:pPr>
            <w:r>
              <w:rPr>
                <w:rFonts w:hint="eastAsia"/>
              </w:rPr>
              <w:t>1)</w:t>
            </w:r>
            <w:r>
              <w:rPr>
                <w:rFonts w:hint="eastAsia"/>
              </w:rPr>
              <w:tab/>
            </w:r>
            <w:r>
              <w:rPr>
                <w:rFonts w:hint="eastAsia"/>
              </w:rPr>
              <w:t>搭建开发环境</w:t>
            </w:r>
            <w:r>
              <w:rPr>
                <w:rFonts w:hint="eastAsia"/>
                <w:lang w:eastAsia="zh-CN"/>
              </w:rPr>
              <w:t>：系统开发初期首先完成项目初始化、Taro 框架配置、小程序工程配置和云开发环境接入，建立前端页面目录、云函数目录和云数据库数据结构，为后续功能实现提供基础环境支撑。</w:t>
            </w:r>
          </w:p>
          <w:p w14:paraId="73624302">
            <w:pPr>
              <w:ind w:firstLine="480" w:firstLineChars="200"/>
              <w:jc w:val="left"/>
              <w:rPr>
                <w:rFonts w:hint="eastAsia"/>
              </w:rPr>
            </w:pPr>
            <w:r>
              <w:rPr>
                <w:rFonts w:hint="eastAsia"/>
              </w:rPr>
              <w:t>2)</w:t>
            </w:r>
            <w:r>
              <w:rPr>
                <w:rFonts w:hint="eastAsia"/>
              </w:rPr>
              <w:tab/>
            </w:r>
            <w:r>
              <w:rPr>
                <w:rFonts w:hint="eastAsia"/>
              </w:rPr>
              <w:t>需求分析</w:t>
            </w:r>
            <w:r>
              <w:rPr>
                <w:rFonts w:hint="eastAsia"/>
                <w:lang w:eastAsia="zh-CN"/>
              </w:rPr>
              <w:t>：</w:t>
            </w:r>
            <w:r>
              <w:rPr>
                <w:rFonts w:hint="eastAsia"/>
              </w:rPr>
              <w:t>结合退役军人服务实际场景，对系统所需功能进行梳理，明确首页导航、退伍指引、就业创业、教育培训、拥军优抚、资讯服务、个人信息管理、军魂记录、健康管理和智能问答等核心模块，并同步分析系统在易用性、稳定性和扩展性方面的非功能需求。</w:t>
            </w:r>
          </w:p>
          <w:p w14:paraId="105BEE87">
            <w:pPr>
              <w:keepNext w:val="0"/>
              <w:keepLines w:val="0"/>
              <w:widowControl/>
              <w:suppressLineNumbers w:val="0"/>
              <w:ind w:firstLine="480" w:firstLineChars="200"/>
              <w:jc w:val="left"/>
            </w:pPr>
            <w:r>
              <w:rPr>
                <w:rFonts w:hint="eastAsia"/>
              </w:rPr>
              <w:t>3)</w:t>
            </w:r>
            <w:r>
              <w:rPr>
                <w:rFonts w:hint="eastAsia"/>
                <w:lang w:val="en-US" w:eastAsia="zh-CN"/>
              </w:rPr>
              <w:t xml:space="preserve"> 系统设计：</w:t>
            </w:r>
            <w:r>
              <w:rPr>
                <w:rFonts w:hint="eastAsia"/>
              </w:rPr>
              <w:t>进行系统设计在需求分析基础上，对系统总体架构、页面结构、业务流程和数据结构进行设计。系统采用“前端页面 + 云函数接口 + 云数据库”的架构模式，通过模块化方式组织业务页面，并结合多集合数据存储和地区化配置机制实现服务内容的灵活扩展。</w:t>
            </w:r>
          </w:p>
          <w:p w14:paraId="1968BD21">
            <w:pPr>
              <w:ind w:firstLine="480" w:firstLineChars="200"/>
              <w:jc w:val="left"/>
            </w:pPr>
            <w:r>
              <w:rPr>
                <w:rFonts w:hint="eastAsia"/>
              </w:rPr>
              <w:t>4)</w:t>
            </w:r>
            <w:r>
              <w:rPr>
                <w:rFonts w:hint="eastAsia"/>
              </w:rPr>
              <w:tab/>
            </w:r>
            <w:r>
              <w:rPr>
                <w:rFonts w:hint="eastAsia"/>
              </w:rPr>
              <w:t>实现系统功能</w:t>
            </w:r>
            <w:r>
              <w:rPr>
                <w:rFonts w:hint="eastAsia"/>
                <w:lang w:eastAsia="zh-CN"/>
              </w:rPr>
              <w:t>：</w:t>
            </w:r>
            <w:r>
              <w:rPr>
                <w:rFonts w:hint="eastAsia"/>
              </w:rPr>
              <w:t>按照之前对系统的设计，进行程序的开发，实现所需功能。</w:t>
            </w:r>
          </w:p>
          <w:p w14:paraId="622C59ED">
            <w:pPr>
              <w:ind w:firstLine="480" w:firstLineChars="200"/>
              <w:jc w:val="left"/>
              <w:rPr>
                <w:rFonts w:hint="eastAsia" w:eastAsia="宋体"/>
                <w:lang w:eastAsia="zh-CN"/>
              </w:rPr>
            </w:pPr>
            <w:r>
              <w:rPr>
                <w:rFonts w:hint="eastAsia"/>
              </w:rPr>
              <w:t>5)</w:t>
            </w:r>
            <w:r>
              <w:rPr>
                <w:rFonts w:hint="eastAsia"/>
              </w:rPr>
              <w:tab/>
            </w:r>
            <w:r>
              <w:rPr>
                <w:rFonts w:hint="eastAsia"/>
              </w:rPr>
              <w:t>测试与维护</w:t>
            </w:r>
            <w:r>
              <w:rPr>
                <w:rFonts w:hint="eastAsia"/>
                <w:lang w:eastAsia="zh-CN"/>
              </w:rPr>
              <w:t>：系统开发完成后，通过功能测试、接口测试、兼容性测试和异常场景测试等方式对各模块进行检查与优化，持续修正页面交互、数据同步和状态更新中的问题，提升系统的稳定性和整体用户体验。</w:t>
            </w:r>
          </w:p>
          <w:p w14:paraId="4F6D8FB3">
            <w:pPr>
              <w:ind w:firstLine="480" w:firstLineChars="200"/>
              <w:jc w:val="left"/>
            </w:pPr>
            <w:r>
              <w:rPr>
                <w:rFonts w:hint="eastAsia"/>
              </w:rPr>
              <w:t>综上所述，本系统实现了将分散的退役军人服务内容向移动化、集成化和智能化服务平台的转变。通过微信小程序这一轻量化载体，系统将退伍指引、就业培训、优抚服务、资讯获取、个人记录和智能咨询等内容整合到统一平台之中，能够较好地满足退役军人在实际使用过程中的多样化需求。后续还可继续围绕真实业务接口接入、地区政策精细化适配、服务推荐机制和智能问答准确性提升等方向开展进一步优化，从而不断增强系统的实用价值和推广意义。</w:t>
            </w:r>
          </w:p>
          <w:p w14:paraId="7313B6E5">
            <w:pPr>
              <w:ind w:firstLine="480" w:firstLineChars="200"/>
              <w:jc w:val="left"/>
            </w:pPr>
            <w:r>
              <w:rPr>
                <w:rFonts w:hint="eastAsia"/>
              </w:rPr>
              <w:t>参考文献：</w:t>
            </w:r>
          </w:p>
        </w:tc>
      </w:tr>
    </w:tbl>
    <w:p w14:paraId="5FDEF01B">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[1] U.S. Department of Veterans Affairs. VA.gov Design System[EB/OL].</w:t>
      </w:r>
      <w:r>
        <w:rPr>
          <w:rFonts w:hint="default" w:ascii="宋体" w:hAnsi="宋体" w:eastAsia="宋体" w:cs="Times New Roman"/>
          <w:sz w:val="21"/>
          <w:szCs w:val="21"/>
        </w:rPr>
        <w:br w:type="textWrapping"/>
      </w:r>
      <w:r>
        <w:rPr>
          <w:rFonts w:hint="default" w:ascii="宋体" w:hAnsi="宋体" w:eastAsia="宋体" w:cs="Times New Roman"/>
          <w:sz w:val="21"/>
          <w:szCs w:val="21"/>
        </w:rPr>
        <w:fldChar w:fldCharType="begin"/>
      </w:r>
      <w:r>
        <w:rPr>
          <w:rFonts w:hint="default" w:ascii="宋体" w:hAnsi="宋体" w:eastAsia="宋体" w:cs="Times New Roman"/>
          <w:sz w:val="21"/>
          <w:szCs w:val="21"/>
        </w:rPr>
        <w:instrText xml:space="preserve"> HYPERLINK "https://design.va.gov/" \t "/Users/rosent/Documents\\x/_blank" </w:instrText>
      </w:r>
      <w:r>
        <w:rPr>
          <w:rFonts w:hint="default" w:ascii="宋体" w:hAnsi="宋体" w:eastAsia="宋体" w:cs="Times New Roman"/>
          <w:sz w:val="21"/>
          <w:szCs w:val="21"/>
        </w:rPr>
        <w:fldChar w:fldCharType="separate"/>
      </w:r>
      <w:r>
        <w:rPr>
          <w:rFonts w:hint="default" w:ascii="宋体" w:hAnsi="宋体" w:eastAsia="宋体" w:cs="Times New Roman"/>
          <w:sz w:val="21"/>
          <w:szCs w:val="21"/>
        </w:rPr>
        <w:t>https://design.va.gov/</w:t>
      </w:r>
      <w:r>
        <w:rPr>
          <w:rFonts w:hint="default" w:ascii="宋体" w:hAnsi="宋体" w:eastAsia="宋体" w:cs="Times New Roman"/>
          <w:sz w:val="21"/>
          <w:szCs w:val="21"/>
        </w:rPr>
        <w:fldChar w:fldCharType="end"/>
      </w:r>
    </w:p>
    <w:p w14:paraId="4816C2FF">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eastAsia" w:ascii="宋体" w:hAnsi="宋体" w:eastAsia="宋体" w:cs="Times New Roman"/>
          <w:sz w:val="21"/>
          <w:szCs w:val="21"/>
          <w:lang w:val="en-US" w:eastAsia="zh-CN"/>
        </w:rPr>
        <w:t>2</w:t>
      </w:r>
      <w:r>
        <w:rPr>
          <w:rFonts w:hint="default" w:ascii="宋体" w:hAnsi="宋体" w:eastAsia="宋体" w:cs="Times New Roman"/>
          <w:sz w:val="21"/>
          <w:szCs w:val="21"/>
        </w:rPr>
        <w:t>] Hogan T P, Etingen B, Lipschitz J M, et al. Factors Associated With Self-reported Use of Web and Mobile Health Apps Among US Military Veterans: Cross-sectional Survey[J]. JMIR mHealth and uHealth, 2022, 10(12): e41767.</w:t>
      </w:r>
    </w:p>
    <w:p w14:paraId="59F5C469">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eastAsia" w:ascii="宋体" w:hAnsi="宋体" w:eastAsia="宋体" w:cs="Times New Roman"/>
          <w:sz w:val="21"/>
          <w:szCs w:val="21"/>
          <w:lang w:val="en-US" w:eastAsia="zh-CN"/>
        </w:rPr>
        <w:t>3</w:t>
      </w:r>
      <w:r>
        <w:rPr>
          <w:rFonts w:hint="default" w:ascii="宋体" w:hAnsi="宋体" w:eastAsia="宋体" w:cs="Times New Roman"/>
          <w:sz w:val="21"/>
          <w:szCs w:val="21"/>
        </w:rPr>
        <w:t>] Walker D L, Nouri M S, Plouffe R A, et al. Telehealth experiences in Canadian veterans: associations, strengths and barriers to care during the COVID-19 pandemic[J]. BMJ Military Health, 2024, 170(e2): e97-e103.</w:t>
      </w:r>
    </w:p>
    <w:p w14:paraId="01A0B94E">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eastAsia" w:ascii="宋体" w:hAnsi="宋体" w:eastAsia="宋体" w:cs="Times New Roman"/>
          <w:sz w:val="21"/>
          <w:szCs w:val="21"/>
          <w:lang w:val="en-US" w:eastAsia="zh-CN"/>
        </w:rPr>
        <w:t>4</w:t>
      </w:r>
      <w:r>
        <w:rPr>
          <w:rFonts w:hint="default" w:ascii="宋体" w:hAnsi="宋体" w:eastAsia="宋体" w:cs="Times New Roman"/>
          <w:sz w:val="21"/>
          <w:szCs w:val="21"/>
        </w:rPr>
        <w:t>] 中华人民共和国退役军人事务部. 退役军人事务部印发《关于加强退役军人事务信息化建设的指导意见》[EB/OL]. 2021-10-18.</w:t>
      </w:r>
    </w:p>
    <w:p w14:paraId="7DFD0E37">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eastAsia" w:ascii="宋体" w:hAnsi="宋体" w:eastAsia="宋体" w:cs="Times New Roman"/>
          <w:sz w:val="21"/>
          <w:szCs w:val="21"/>
          <w:lang w:val="en-US" w:eastAsia="zh-CN"/>
        </w:rPr>
        <w:t>5</w:t>
      </w:r>
      <w:r>
        <w:rPr>
          <w:rFonts w:hint="default" w:ascii="宋体" w:hAnsi="宋体" w:eastAsia="宋体" w:cs="Times New Roman"/>
          <w:sz w:val="21"/>
          <w:szCs w:val="21"/>
        </w:rPr>
        <w:t>] 中华人民共和国退役军人事务部. 坚持改革引领 加快数字赋能 打造退役军人服务“一件事”新模式[EB/OL]. 2025-05-22.</w:t>
      </w:r>
    </w:p>
    <w:p w14:paraId="003779DA">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eastAsia" w:ascii="宋体" w:hAnsi="宋体" w:eastAsia="宋体" w:cs="Times New Roman"/>
          <w:sz w:val="21"/>
          <w:szCs w:val="21"/>
          <w:lang w:val="en-US" w:eastAsia="zh-CN"/>
        </w:rPr>
        <w:t>6</w:t>
      </w:r>
      <w:r>
        <w:rPr>
          <w:rFonts w:hint="default" w:ascii="宋体" w:hAnsi="宋体" w:eastAsia="宋体" w:cs="Times New Roman"/>
          <w:sz w:val="21"/>
          <w:szCs w:val="21"/>
        </w:rPr>
        <w:t>] 卢军宇. 政务服务平台中智能客服系统的构建研究[J]. 电子通信与计算机科学, 2025, 7(8): 20-22.</w:t>
      </w:r>
      <w:r>
        <w:rPr>
          <w:rFonts w:hint="eastAsia" w:ascii="宋体" w:hAnsi="宋体" w:eastAsia="宋体" w:cs="Times New Roman"/>
          <w:sz w:val="21"/>
          <w:szCs w:val="21"/>
          <w:lang w:val="en-US" w:eastAsia="zh-CN"/>
        </w:rPr>
        <w:t xml:space="preserve"> </w:t>
      </w:r>
      <w:r>
        <w:rPr>
          <w:rFonts w:hint="default" w:ascii="宋体" w:hAnsi="宋体" w:eastAsia="宋体" w:cs="Times New Roman"/>
          <w:sz w:val="21"/>
          <w:szCs w:val="21"/>
        </w:rPr>
        <w:fldChar w:fldCharType="begin"/>
      </w:r>
      <w:r>
        <w:rPr>
          <w:rFonts w:hint="default" w:ascii="宋体" w:hAnsi="宋体" w:eastAsia="宋体" w:cs="Times New Roman"/>
          <w:sz w:val="21"/>
          <w:szCs w:val="21"/>
        </w:rPr>
        <w:instrText xml:space="preserve"> HYPERLINK "https://ojs.omniscient.sg/index.php/eccs/article/download/68244/66813/" \t "/Users/rosent/Documents\\x/_blank" </w:instrText>
      </w:r>
      <w:r>
        <w:rPr>
          <w:rFonts w:hint="default" w:ascii="宋体" w:hAnsi="宋体" w:eastAsia="宋体" w:cs="Times New Roman"/>
          <w:sz w:val="21"/>
          <w:szCs w:val="21"/>
        </w:rPr>
        <w:fldChar w:fldCharType="separate"/>
      </w:r>
      <w:r>
        <w:rPr>
          <w:rFonts w:hint="default" w:ascii="宋体" w:hAnsi="宋体" w:eastAsia="宋体" w:cs="Times New Roman"/>
          <w:sz w:val="21"/>
          <w:szCs w:val="21"/>
        </w:rPr>
        <w:t>https://ojs.omniscient.sg/index.php/eccs/article/download/68244/66813/</w:t>
      </w:r>
      <w:r>
        <w:rPr>
          <w:rFonts w:hint="default" w:ascii="宋体" w:hAnsi="宋体" w:eastAsia="宋体" w:cs="Times New Roman"/>
          <w:sz w:val="21"/>
          <w:szCs w:val="21"/>
        </w:rPr>
        <w:fldChar w:fldCharType="end"/>
      </w:r>
    </w:p>
    <w:p w14:paraId="50898587">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default" w:ascii="宋体" w:hAnsi="宋体" w:eastAsia="宋体" w:cs="Times New Roman"/>
          <w:sz w:val="21"/>
          <w:szCs w:val="21"/>
          <w:lang w:val="en-US"/>
        </w:rPr>
        <w:t>7</w:t>
      </w:r>
      <w:r>
        <w:rPr>
          <w:rFonts w:hint="default" w:ascii="宋体" w:hAnsi="宋体" w:eastAsia="宋体" w:cs="Times New Roman"/>
          <w:sz w:val="21"/>
          <w:szCs w:val="21"/>
        </w:rPr>
        <w:t xml:space="preserve">] 微信开放文档. 微信小程序开发文档[EB/OL]. </w:t>
      </w:r>
    </w:p>
    <w:p w14:paraId="35299AD8">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https://developers.weixin.qq.com/miniprogram/dev/framework/</w:t>
      </w:r>
    </w:p>
    <w:p w14:paraId="51119636">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default" w:ascii="宋体" w:hAnsi="宋体" w:eastAsia="宋体" w:cs="Times New Roman"/>
          <w:sz w:val="21"/>
          <w:szCs w:val="21"/>
          <w:lang w:val="en-US"/>
        </w:rPr>
        <w:t>8</w:t>
      </w:r>
      <w:r>
        <w:rPr>
          <w:rFonts w:hint="default" w:ascii="宋体" w:hAnsi="宋体" w:eastAsia="宋体" w:cs="Times New Roman"/>
          <w:sz w:val="21"/>
          <w:szCs w:val="21"/>
        </w:rPr>
        <w:t>] Taro 官方文档. Taro 介绍[EB/OL]. https://docs.taro.zone/docs/</w:t>
      </w:r>
    </w:p>
    <w:p w14:paraId="4C2EE5E2">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default" w:ascii="宋体" w:hAnsi="宋体" w:eastAsia="宋体" w:cs="Times New Roman"/>
          <w:sz w:val="21"/>
          <w:szCs w:val="21"/>
          <w:lang w:val="en-US"/>
        </w:rPr>
        <w:t>9</w:t>
      </w:r>
      <w:r>
        <w:rPr>
          <w:rFonts w:hint="default" w:ascii="宋体" w:hAnsi="宋体" w:eastAsia="宋体" w:cs="Times New Roman"/>
          <w:sz w:val="21"/>
          <w:szCs w:val="21"/>
        </w:rPr>
        <w:t>] React. React Documentation[EB/OL]. https://react.dev/</w:t>
      </w:r>
    </w:p>
    <w:p w14:paraId="12A775BC">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https://www.typescriptlang.org/docs/handbook/intro</w:t>
      </w:r>
    </w:p>
    <w:p w14:paraId="43154ECB">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default" w:ascii="宋体" w:hAnsi="宋体" w:eastAsia="宋体" w:cs="Times New Roman"/>
          <w:sz w:val="21"/>
          <w:szCs w:val="21"/>
          <w:lang w:val="en-US"/>
        </w:rPr>
        <w:t>9</w:t>
      </w:r>
      <w:r>
        <w:rPr>
          <w:rFonts w:hint="default" w:ascii="宋体" w:hAnsi="宋体" w:eastAsia="宋体" w:cs="Times New Roman"/>
          <w:sz w:val="21"/>
          <w:szCs w:val="21"/>
        </w:rPr>
        <w:t xml:space="preserve">] 微信开放文档. 微信云开发文档[EB/OL]. </w:t>
      </w:r>
    </w:p>
    <w:p w14:paraId="1163D2BE">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https://developers.weixin.qq.com/miniprogram/dev/wxcloud/guide/quickstart/miniprogram.html</w:t>
      </w:r>
    </w:p>
    <w:p w14:paraId="54D6B33D">
      <w:pPr>
        <w:spacing w:line="300" w:lineRule="auto"/>
        <w:ind w:firstLine="420" w:firstLineChars="200"/>
        <w:rPr>
          <w:rFonts w:hint="default" w:ascii="宋体" w:hAnsi="宋体" w:eastAsia="宋体" w:cs="Times New Roman"/>
          <w:sz w:val="21"/>
          <w:szCs w:val="21"/>
        </w:rPr>
      </w:pPr>
      <w:r>
        <w:rPr>
          <w:rFonts w:hint="default" w:ascii="宋体" w:hAnsi="宋体" w:eastAsia="宋体" w:cs="Times New Roman"/>
          <w:sz w:val="21"/>
          <w:szCs w:val="21"/>
        </w:rPr>
        <w:t>[</w:t>
      </w:r>
      <w:r>
        <w:rPr>
          <w:rFonts w:hint="default" w:ascii="宋体" w:hAnsi="宋体" w:eastAsia="宋体" w:cs="Times New Roman"/>
          <w:sz w:val="21"/>
          <w:szCs w:val="21"/>
          <w:lang w:val="en-US"/>
        </w:rPr>
        <w:t>10</w:t>
      </w:r>
      <w:r>
        <w:rPr>
          <w:rFonts w:hint="default" w:ascii="宋体" w:hAnsi="宋体" w:eastAsia="宋体" w:cs="Times New Roman"/>
          <w:sz w:val="21"/>
          <w:szCs w:val="21"/>
        </w:rPr>
        <w:t>] Vaswani A, Shazeer N, Parmar N, et al. Attention Is All You Need[C]. Advances in Neural Information Processing Systems, 2017. https://arxiv.org/abs/1706.03762</w:t>
      </w:r>
    </w:p>
    <w:p w14:paraId="450C027E">
      <w:pPr>
        <w:spacing w:line="300" w:lineRule="auto"/>
        <w:ind w:firstLine="420" w:firstLineChars="200"/>
        <w:rPr>
          <w:rFonts w:hint="eastAsia" w:ascii="宋体" w:hAnsi="宋体" w:eastAsia="宋体" w:cs="Times New Roman"/>
          <w:sz w:val="21"/>
          <w:szCs w:val="21"/>
        </w:rPr>
      </w:pPr>
    </w:p>
    <w:p w14:paraId="33BFC0B7"/>
    <w:sectPr>
      <w:headerReference r:id="rId8" w:type="default"/>
      <w:footerReference r:id="rId9"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FB1DD">
    <w:pPr>
      <w:pStyle w:val="4"/>
      <w:tabs>
        <w:tab w:val="center" w:pos="4394"/>
        <w:tab w:val="clear" w:pos="4153"/>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F4C84">
    <w:pPr>
      <w:pStyle w:val="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58CAC">
    <w:pPr>
      <w:pStyle w:val="4"/>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BC73C">
    <w:pPr>
      <w:snapToGrid w:val="0"/>
      <w:spacing w:after="200" w:line="276" w:lineRule="auto"/>
      <w:ind w:firstLine="360"/>
      <w:rPr>
        <w:rFonts w:ascii="Calibri" w:hAnsi="Calibri"/>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E7237">
    <w:pPr>
      <w:pStyle w:val="5"/>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D252E">
    <w:pPr>
      <w:pStyle w:val="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DB8AC">
    <w:pPr>
      <w:pStyle w:val="5"/>
      <w:widowControl/>
      <w:ind w:firstLine="360"/>
      <w:rPr>
        <w:kern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DD0712"/>
    <w:multiLevelType w:val="singleLevel"/>
    <w:tmpl w:val="FEDD0712"/>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066"/>
    <w:rsid w:val="0007047F"/>
    <w:rsid w:val="00083AE1"/>
    <w:rsid w:val="00126737"/>
    <w:rsid w:val="001466D6"/>
    <w:rsid w:val="00153205"/>
    <w:rsid w:val="00170D2B"/>
    <w:rsid w:val="001A1A28"/>
    <w:rsid w:val="001A2946"/>
    <w:rsid w:val="001B4F7F"/>
    <w:rsid w:val="001C7BE7"/>
    <w:rsid w:val="00227CB8"/>
    <w:rsid w:val="00251871"/>
    <w:rsid w:val="002E05D9"/>
    <w:rsid w:val="002F246E"/>
    <w:rsid w:val="00322D9B"/>
    <w:rsid w:val="00325800"/>
    <w:rsid w:val="003A2F01"/>
    <w:rsid w:val="003B4A8D"/>
    <w:rsid w:val="003F12BC"/>
    <w:rsid w:val="004B4E24"/>
    <w:rsid w:val="005064F7"/>
    <w:rsid w:val="00576CE7"/>
    <w:rsid w:val="0059691C"/>
    <w:rsid w:val="005B6249"/>
    <w:rsid w:val="005C6166"/>
    <w:rsid w:val="006A2D0E"/>
    <w:rsid w:val="006D0904"/>
    <w:rsid w:val="007100E7"/>
    <w:rsid w:val="0077608B"/>
    <w:rsid w:val="00777DC9"/>
    <w:rsid w:val="007C2C47"/>
    <w:rsid w:val="008123C2"/>
    <w:rsid w:val="008439CB"/>
    <w:rsid w:val="008B132C"/>
    <w:rsid w:val="009836A6"/>
    <w:rsid w:val="009A2F57"/>
    <w:rsid w:val="00A13D46"/>
    <w:rsid w:val="00A25C51"/>
    <w:rsid w:val="00AC552E"/>
    <w:rsid w:val="00B3749E"/>
    <w:rsid w:val="00B4336F"/>
    <w:rsid w:val="00BB0819"/>
    <w:rsid w:val="00BD2C22"/>
    <w:rsid w:val="00C23CA8"/>
    <w:rsid w:val="00C257F2"/>
    <w:rsid w:val="00C634DC"/>
    <w:rsid w:val="00C903AE"/>
    <w:rsid w:val="00CC6E20"/>
    <w:rsid w:val="00D35500"/>
    <w:rsid w:val="00D47BE3"/>
    <w:rsid w:val="00E44049"/>
    <w:rsid w:val="00E47066"/>
    <w:rsid w:val="00EC2D50"/>
    <w:rsid w:val="00FB2AE7"/>
    <w:rsid w:val="09FF5FF2"/>
    <w:rsid w:val="3DE75D38"/>
    <w:rsid w:val="4EFF78D1"/>
    <w:rsid w:val="5AFE9CFA"/>
    <w:rsid w:val="6DEB81B6"/>
    <w:rsid w:val="7ABAB305"/>
    <w:rsid w:val="7DEFA781"/>
    <w:rsid w:val="98FD87C1"/>
    <w:rsid w:val="AE7BB254"/>
    <w:rsid w:val="BFFB2380"/>
    <w:rsid w:val="C5F942F4"/>
    <w:rsid w:val="DFF39F85"/>
    <w:rsid w:val="FEC0F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unhideWhenUsed/>
    <w:qFormat/>
    <w:uiPriority w:val="0"/>
    <w:pPr>
      <w:jc w:val="left"/>
    </w:pPr>
  </w:style>
  <w:style w:type="paragraph" w:styleId="3">
    <w:name w:val="Balloon Text"/>
    <w:basedOn w:val="1"/>
    <w:link w:val="18"/>
    <w:semiHidden/>
    <w:unhideWhenUsed/>
    <w:uiPriority w:val="99"/>
    <w:rPr>
      <w:sz w:val="18"/>
      <w:szCs w:val="18"/>
    </w:rPr>
  </w:style>
  <w:style w:type="paragraph" w:styleId="4">
    <w:name w:val="footer"/>
    <w:basedOn w:val="1"/>
    <w:link w:val="15"/>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4"/>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semiHidden/>
    <w:unhideWhenUsed/>
    <w:uiPriority w:val="99"/>
    <w:rPr>
      <w:sz w:val="24"/>
    </w:rPr>
  </w:style>
  <w:style w:type="paragraph" w:styleId="7">
    <w:name w:val="annotation subject"/>
    <w:basedOn w:val="2"/>
    <w:next w:val="2"/>
    <w:link w:val="17"/>
    <w:semiHidden/>
    <w:unhideWhenUsed/>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semiHidden/>
    <w:unhideWhenUsed/>
    <w:uiPriority w:val="99"/>
    <w:rPr>
      <w:color w:val="0000FF"/>
      <w:u w:val="single"/>
    </w:rPr>
  </w:style>
  <w:style w:type="character" w:styleId="13">
    <w:name w:val="annotation reference"/>
    <w:basedOn w:val="10"/>
    <w:unhideWhenUsed/>
    <w:qFormat/>
    <w:uiPriority w:val="99"/>
    <w:rPr>
      <w:sz w:val="21"/>
      <w:szCs w:val="21"/>
    </w:rPr>
  </w:style>
  <w:style w:type="character" w:customStyle="1" w:styleId="14">
    <w:name w:val="页眉 字符"/>
    <w:basedOn w:val="10"/>
    <w:link w:val="5"/>
    <w:uiPriority w:val="99"/>
    <w:rPr>
      <w:sz w:val="18"/>
      <w:szCs w:val="18"/>
    </w:rPr>
  </w:style>
  <w:style w:type="character" w:customStyle="1" w:styleId="15">
    <w:name w:val="页脚 字符"/>
    <w:basedOn w:val="10"/>
    <w:link w:val="4"/>
    <w:uiPriority w:val="99"/>
    <w:rPr>
      <w:sz w:val="18"/>
      <w:szCs w:val="18"/>
    </w:rPr>
  </w:style>
  <w:style w:type="character" w:customStyle="1" w:styleId="16">
    <w:name w:val="批注文字 字符"/>
    <w:basedOn w:val="10"/>
    <w:link w:val="2"/>
    <w:qFormat/>
    <w:uiPriority w:val="0"/>
    <w:rPr>
      <w:rFonts w:ascii="Times New Roman" w:hAnsi="Times New Roman" w:eastAsia="宋体" w:cs="Times New Roman"/>
      <w:sz w:val="24"/>
      <w:szCs w:val="24"/>
    </w:rPr>
  </w:style>
  <w:style w:type="character" w:customStyle="1" w:styleId="17">
    <w:name w:val="批注主题 字符"/>
    <w:basedOn w:val="16"/>
    <w:link w:val="7"/>
    <w:semiHidden/>
    <w:uiPriority w:val="99"/>
    <w:rPr>
      <w:rFonts w:ascii="Times New Roman" w:hAnsi="Times New Roman" w:eastAsia="宋体" w:cs="Times New Roman"/>
      <w:b/>
      <w:bCs/>
      <w:sz w:val="24"/>
      <w:szCs w:val="24"/>
    </w:rPr>
  </w:style>
  <w:style w:type="character" w:customStyle="1" w:styleId="18">
    <w:name w:val="批注框文本 字符"/>
    <w:basedOn w:val="10"/>
    <w:link w:val="3"/>
    <w:semiHidden/>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7</Pages>
  <Words>1108</Words>
  <Characters>6318</Characters>
  <Lines>52</Lines>
  <Paragraphs>14</Paragraphs>
  <TotalTime>2</TotalTime>
  <ScaleCrop>false</ScaleCrop>
  <LinksUpToDate>false</LinksUpToDate>
  <CharactersWithSpaces>7412</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2022-05-19T04:28:00Z</dcterms:created>
  <dc:creator>蓝博</dc:creator>
  <cp:lastModifiedBy>2443863832</cp:lastModifiedBy>
  <dcterms:modified xsi:type="dcterms:W3CDTF">2026-04-30T21:12:37Z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85EE849D6BDD5A668D53E7696DD3FA20_42</vt:lpwstr>
  </property>
</Properties>
</file>