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header1.xml" ContentType="application/vnd.openxmlformats-officedocument.wordprocessingml.header+xml"/>
  <ns0:Override PartName="/word/footer1.xml" ContentType="application/vnd.openxmlformats-officedocument.wordprocessingml.footer+xml"/>
  <ns0:Override PartName="/docProps/core.xml" ContentType="application/vnd.openxmlformats-package.core-properties+xml"/>
  <ns0:Override PartName="/docProps/app.xml" ContentType="application/vnd.openxmlformats-officedocument.extended-properties+xml"/>
</ns0:Types>
</file>

<file path=_rels/.rels><?xml version='1.0' encoding='utf-8'?>
<ns0:Relationships xmlns:ns0="http://schemas.openxmlformats.org/package/2006/relationships"><ns0:Relationship Id="rIdDocument" Type="http://schemas.openxmlformats.org/officeDocument/2006/relationships/officeDocument" Target="word/document.xml" /><ns0:Relationship Id="rIdCore" Type="http://schemas.openxmlformats.org/package/2006/relationships/metadata/core-properties" Target="docProps/core.xml" /><ns0:Relationship Id="rIdApp" Type="http://schemas.openxmlformats.org/officeDocument/2006/relationships/extended-properties" Target="docProps/app.xml" /></ns0:Relationships>
</file>

<file path=word/document.xml><?xml version="1.0" encoding="utf-8"?>
<w:document xmlns:r="http://schemas.openxmlformats.org/officeDocument/2006/relationships" xmlns:w="http://schemas.openxmlformats.org/wordprocessingml/2006/main">
  <w:body>
    <w:p>
      <w:pPr>
        <w:pStyle w:val="Title"/>
      </w:pPr>
      <w:r>
        <w:t xml:space="preserve">Branch Predictor Implementation</w:t>
      </w:r>
    </w:p>
    <w:p>
      <w:pPr>
        <w:pStyle w:val="Subtitle"/>
      </w:pPr>
      <w:r>
        <w:t xml:space="preserve">Assignment 1 | Pentium M–inspired hybrid direction predictor</w:t>
      </w:r>
    </w:p>
    <w:p>
      <w:pPr>
        <w:pStyle w:val="Heading1"/>
        <w:keepNext/>
        <w:keepLines/>
      </w:pPr>
      <w:r>
        <w:t xml:space="preserve">1 Introduction</w:t>
      </w:r>
    </w:p>
    <w:p>
      <w:pPr>
        <w:pStyle w:val="Normal"/>
      </w:pPr>
      <w:r>
        <w:t xml:space="preserve">This assignment implements a hybrid branch direction predictor that combines a bimodal table with a tagged global predictor. The bimodal table learns the tendency of a branch address, while the global table distinguishes recent branch-outcome histories. A matching global entry supplies the final prediction; otherwise, the bimodal table supplies it.</w:t>
      </w:r>
    </w:p>
    <w:p>
      <w:pPr>
        <w:pStyle w:val="Normal"/>
      </w:pPr>
      <w:r>
        <w:t xml:space="preserve">The C++ implementation completes pm_predictor in cbp2-infrastructure-v2/src/my_predictor.h and uses the supplied CBP2 trace driver. Evaluation covers all supplied benchmarks and measures conditional direction mispredictions per thousand executed instructions (MPKI).</w:t>
      </w:r>
    </w:p>
    <w:p>
      <w:pPr>
        <w:pStyle w:val="Heading1"/>
        <w:keepNext/>
        <w:keepLines/>
      </w:pPr>
      <w:r>
        <w:t xml:space="preserve">2 Design and Code Changes</w:t>
      </w:r>
    </w:p>
    <w:p>
      <w:pPr>
        <w:pStyle w:val="Normal"/>
      </w:pPr>
      <w:r>
        <w:t xml:space="preserve">The design follows the assignment diagram and uses its permitted two-way global predictor. Both predictor components use saturating counters: states 0 and 1 predict not taken; states 2 and 3 predict taken.</w:t>
      </w:r>
    </w:p>
    <w:tbl>
      <w:tblPr>
        <w:tblW w:w="9580" w:type="dxa"/>
        <w:tblBorders>
          <w:top w:val="single" w:sz="4" w:color="B9C1C8"/>
          <w:left w:val="single" w:sz="4" w:color="B9C1C8"/>
          <w:bottom w:val="single" w:sz="4" w:color="B9C1C8"/>
          <w:right w:val="single" w:sz="4" w:color="B9C1C8"/>
          <w:insideH w:val="single" w:sz="4" w:color="B9C1C8"/>
          <w:insideV w:val="single" w:sz="4" w:color="B9C1C8"/>
        </w:tblBorders>
        <w:tblLayout w:type="fixed"/>
        <w:tblCellMar>
          <w:top w:w="75" w:type="dxa"/>
          <w:bottom w:w="75" w:type="dxa"/>
          <w:left w:w="105" w:type="dxa"/>
          <w:right w:w="105" w:type="dxa"/>
        </w:tblCellMar>
      </w:tblPr>
      <w:tblGrid>
        <w:gridCol w:w="2450"/>
        <w:gridCol w:w="7130"/>
      </w:tblGrid>
      <w:tr>
        <w:trPr>
          <w:cantSplit/>
          <w:tblHeader/>
        </w:trPr>
        <w:tc>
          <w:tcPr>
            <w:tcW w:w="2450" w:type="dxa"/>
            <w:shd w:val="clear" w:fill="DEE7ED" w:color="auto"/>
            <w:vAlign w:val="center"/>
          </w:tcPr>
          <w:p>
            <w:pPr>
              <w:pStyle w:val="TableText"/>
            </w:pPr>
            <w:r>
              <w:rPr>
                <w:b/>
              </w:rPr>
              <w:t xml:space="preserve">Component</w:t>
            </w:r>
          </w:p>
        </w:tc>
        <w:tc>
          <w:tcPr>
            <w:tcW w:w="7130" w:type="dxa"/>
            <w:shd w:val="clear" w:fill="DEE7ED" w:color="auto"/>
            <w:vAlign w:val="center"/>
          </w:tcPr>
          <w:p>
            <w:pPr>
              <w:pStyle w:val="TableText"/>
            </w:pPr>
            <w:r>
              <w:rPr>
                <w:b/>
              </w:rPr>
              <w:t xml:space="preserve">Implemented configuration</w:t>
            </w:r>
          </w:p>
        </w:tc>
      </w:tr>
      <w:tr>
        <w:trPr>
          <w:cantSplit/>
        </w:trPr>
        <w:tc>
          <w:tcPr>
            <w:tcW w:w="2450" w:type="dxa"/>
            <w:vAlign w:val="center"/>
          </w:tcPr>
          <w:p>
            <w:pPr>
              <w:pStyle w:val="TableText"/>
            </w:pPr>
            <w:r>
              <w:t xml:space="preserve">Bimodal table</w:t>
            </w:r>
          </w:p>
        </w:tc>
        <w:tc>
          <w:tcPr>
            <w:tcW w:w="7130" w:type="dxa"/>
            <w:vAlign w:val="center"/>
          </w:tcPr>
          <w:p>
            <w:pPr>
              <w:pStyle w:val="TableText"/>
            </w:pPr>
            <w:r>
              <w:t xml:space="preserve">4,096 entries; one 2-bit counter per entry; index = PC[11:0].</w:t>
            </w:r>
          </w:p>
        </w:tc>
      </w:tr>
      <w:tr>
        <w:trPr>
          <w:cantSplit/>
        </w:trPr>
        <w:tc>
          <w:tcPr>
            <w:tcW w:w="2450" w:type="dxa"/>
            <w:shd w:val="clear" w:fill="F5F7F9" w:color="auto"/>
            <w:vAlign w:val="center"/>
          </w:tcPr>
          <w:p>
            <w:pPr>
              <w:pStyle w:val="TableText"/>
            </w:pPr>
            <w:r>
              <w:t xml:space="preserve">Global table</w:t>
            </w:r>
          </w:p>
        </w:tc>
        <w:tc>
          <w:tcPr>
            <w:tcW w:w="7130" w:type="dxa"/>
            <w:shd w:val="clear" w:fill="F5F7F9" w:color="auto"/>
            <w:vAlign w:val="center"/>
          </w:tcPr>
          <w:p>
            <w:pPr>
              <w:pStyle w:val="TableText"/>
            </w:pPr>
            <w:r>
              <w:t xml:space="preserve">512 sets × 2 ways; each entry has a valid bit, a 6-bit tag, and a 2-bit counter.</w:t>
            </w:r>
          </w:p>
        </w:tc>
      </w:tr>
      <w:tr>
        <w:trPr>
          <w:cantSplit/>
        </w:trPr>
        <w:tc>
          <w:tcPr>
            <w:tcW w:w="2450" w:type="dxa"/>
            <w:vAlign w:val="center"/>
          </w:tcPr>
          <w:p>
            <w:pPr>
              <w:pStyle w:val="TableText"/>
            </w:pPr>
            <w:r>
              <w:t xml:space="preserve">Global history</w:t>
            </w:r>
          </w:p>
        </w:tc>
        <w:tc>
          <w:tcPr>
            <w:tcW w:w="7130" w:type="dxa"/>
            <w:vAlign w:val="center"/>
          </w:tcPr>
          <w:p>
            <w:pPr>
              <w:pStyle w:val="TableText"/>
            </w:pPr>
            <w:r>
              <w:t xml:space="preserve">15 bits containing the most recent conditional outcomes; taken = 1, not taken = 0.</w:t>
            </w:r>
          </w:p>
        </w:tc>
      </w:tr>
      <w:tr>
        <w:trPr>
          <w:cantSplit/>
        </w:trPr>
        <w:tc>
          <w:tcPr>
            <w:tcW w:w="2450" w:type="dxa"/>
            <w:shd w:val="clear" w:fill="F5F7F9" w:color="auto"/>
            <w:vAlign w:val="center"/>
          </w:tcPr>
          <w:p>
            <w:pPr>
              <w:pStyle w:val="TableText"/>
            </w:pPr>
            <w:r>
              <w:t xml:space="preserve">Global lookup</w:t>
            </w:r>
          </w:p>
        </w:tc>
        <w:tc>
          <w:tcPr>
            <w:tcW w:w="7130" w:type="dxa"/>
            <w:shd w:val="clear" w:fill="F5F7F9" w:color="auto"/>
            <w:vAlign w:val="center"/>
          </w:tcPr>
          <w:p>
            <w:pPr>
              <w:pStyle w:val="TableText"/>
            </w:pPr>
            <w:r>
              <w:t xml:space="preserve">H = (PC XOR GHR) AND 0x7FFF; set = H[14:6]; tag = H[5:0].</w:t>
            </w:r>
          </w:p>
        </w:tc>
      </w:tr>
      <w:tr>
        <w:trPr>
          <w:cantSplit/>
        </w:trPr>
        <w:tc>
          <w:tcPr>
            <w:tcW w:w="2450" w:type="dxa"/>
            <w:vAlign w:val="center"/>
          </w:tcPr>
          <w:p>
            <w:pPr>
              <w:pStyle w:val="TableText"/>
            </w:pPr>
            <w:r>
              <w:t xml:space="preserve">Replacement</w:t>
            </w:r>
          </w:p>
        </w:tc>
        <w:tc>
          <w:tcPr>
            <w:tcW w:w="7130" w:type="dxa"/>
            <w:vAlign w:val="center"/>
          </w:tcPr>
          <w:p>
            <w:pPr>
              <w:pStyle w:val="TableText"/>
            </w:pPr>
            <w:r>
              <w:t xml:space="preserve">Use the first invalid way; otherwise replace the least recently used way.</w:t>
            </w:r>
          </w:p>
        </w:tc>
      </w:tr>
      <w:tr>
        <w:trPr>
          <w:cantSplit/>
        </w:trPr>
        <w:tc>
          <w:tcPr>
            <w:tcW w:w="2450" w:type="dxa"/>
            <w:shd w:val="clear" w:fill="F5F7F9" w:color="auto"/>
            <w:vAlign w:val="center"/>
          </w:tcPr>
          <w:p>
            <w:pPr>
              <w:pStyle w:val="TableText"/>
            </w:pPr>
            <w:r>
              <w:t xml:space="preserve">Initial state</w:t>
            </w:r>
          </w:p>
        </w:tc>
        <w:tc>
          <w:tcPr>
            <w:tcW w:w="7130" w:type="dxa"/>
            <w:shd w:val="clear" w:fill="F5F7F9" w:color="auto"/>
            <w:vAlign w:val="center"/>
          </w:tcPr>
          <w:p>
            <w:pPr>
              <w:pStyle w:val="TableText"/>
            </w:pPr>
            <w:r>
              <w:t xml:space="preserve">GHR = 0; all counters = 1 (weakly not taken); all global entries invalid.</w:t>
            </w:r>
          </w:p>
        </w:tc>
      </w:tr>
      <w:tr>
        <w:trPr>
          <w:cantSplit/>
        </w:trPr>
        <w:tc>
          <w:tcPr>
            <w:tcW w:w="2450" w:type="dxa"/>
            <w:vAlign w:val="center"/>
          </w:tcPr>
          <w:p>
            <w:pPr>
              <w:pStyle w:val="TableText"/>
            </w:pPr>
            <w:r>
              <w:t xml:space="preserve">Training</w:t>
            </w:r>
          </w:p>
        </w:tc>
        <w:tc>
          <w:tcPr>
            <w:tcW w:w="7130" w:type="dxa"/>
            <w:vAlign w:val="center"/>
          </w:tcPr>
          <w:p>
            <w:pPr>
              <w:pStyle w:val="TableText"/>
            </w:pPr>
            <w:r>
              <w:t xml:space="preserve">Train bimodal on every conditional branch; train the matching or newly allocated global entry.</w:t>
            </w:r>
          </w:p>
        </w:tc>
      </w:tr>
      <w:tr>
        <w:trPr>
          <w:cantSplit/>
        </w:trPr>
        <w:tc>
          <w:tcPr>
            <w:tcW w:w="2450" w:type="dxa"/>
            <w:shd w:val="clear" w:fill="F5F7F9" w:color="auto"/>
            <w:vAlign w:val="center"/>
          </w:tcPr>
          <w:p>
            <w:pPr>
              <w:pStyle w:val="TableText"/>
            </w:pPr>
            <w:r>
              <w:t xml:space="preserve">Model scope</w:t>
            </w:r>
          </w:p>
        </w:tc>
        <w:tc>
          <w:tcPr>
            <w:tcW w:w="7130" w:type="dxa"/>
            <w:shd w:val="clear" w:fill="F5F7F9" w:color="auto"/>
            <w:vAlign w:val="center"/>
          </w:tcPr>
          <w:p>
            <w:pPr>
              <w:pStyle w:val="TableText"/>
            </w:pPr>
            <w:r>
              <w:t xml:space="preserve">Direction prediction only; the assignment permits omitting loop and target predictors and the PIR-specific hash.</w:t>
            </w:r>
          </w:p>
        </w:tc>
      </w:tr>
    </w:tbl>
    <w:p>
      <w:pPr>
        <w:pStyle w:val="TableSpacer"/>
      </w:pPr>
      <w:r>
        <w:t xml:space="preserve"/>
      </w:r>
    </w:p>
    <w:p>
      <w:pPr>
        <w:pStyle w:val="Normal"/>
      </w:pPr>
      <w:r>
        <w:t xml:space="preserve">PC denotes the trace’s byte address. The 15-bit XOR directly supplies the nine set bits and six tag bits; no word-address shift is applied. The counters are stored in C++ bytes but are constrained to the four states of a 2-bit counter.</w:t>
      </w:r>
    </w:p>
    <w:p>
      <w:pPr>
        <w:pStyle w:val="Heading2"/>
        <w:keepNext/>
        <w:keepLines/>
        <w:pageBreakBefore/>
      </w:pPr>
      <w:r>
        <w:t xml:space="preserve">2.1 Predictor State and Initialization</w:t>
      </w:r>
    </w:p>
    <w:p>
      <w:pPr>
        <w:pStyle w:val="Normal"/>
      </w:pPr>
      <w:r>
        <w:t xml:space="preserve">The initial class has no prediction tables or history. The modified class adds the tables, per-set replacement state, and prediction-time metadata. Keeping the selected indexes and tag in pm_update ensures that update() trains the entries used by the preceding prediction.</w:t>
      </w:r>
    </w:p>
    <w:p>
      <w:pPr>
        <w:pStyle w:val="Heading3"/>
        <w:keepNext/>
        <w:keepLines/>
      </w:pPr>
      <w:r>
        <w:t xml:space="preserve">2.1.1 Initial Version</w:t>
      </w:r>
    </w:p>
    <w:p>
      <w:pPr>
        <w:pStyle w:val="CodeCaption"/>
        <w:keepNext/>
        <w:keepLines/>
      </w:pPr>
      <w:r>
        <w:t xml:space="preserve">my_predictor.h | pm_update and pm_predictor constructor | lines 57–67</w:t>
      </w:r>
    </w:p>
    <w:p>
      <w:pPr>
        <w:pStyle w:val="Code"/>
        <w:keepLines/>
      </w:pPr>
      <w:r>
        <w:t xml:space="preserve">class pm_update : public branch_update {</w:t>
        <w:br/>
        <w:t xml:space="preserve">public:</w:t>
        <w:br/>
        <w:t xml:space="preserve">        unsigned int index;</w:t>
        <w:br/>
        <w:t xml:space="preserve">};</w:t>
        <w:br/>
        <w:t xml:space="preserve"/>
        <w:br/>
        <w:t xml:space="preserve">class pm_predictor : public branch_predictor {</w:t>
        <w:br/>
        <w:t xml:space="preserve">public:</w:t>
        <w:br/>
        <w:t xml:space="preserve">        pm_update u;</w:t>
        <w:br/>
        <w:t xml:space="preserve"/>
        <w:br/>
        <w:t xml:space="preserve">        pm_predictor (void) {</w:t>
        <w:br/>
        <w:t xml:space="preserve">        }</w:t>
      </w:r>
    </w:p>
    <w:p>
      <w:pPr>
        <w:pStyle w:val="Heading3"/>
        <w:keepNext/>
        <w:keepLines/>
      </w:pPr>
      <w:r>
        <w:t xml:space="preserve">2.1.2 Modified Version</w:t>
      </w:r>
    </w:p>
    <w:p>
      <w:pPr>
        <w:pStyle w:val="CodeCaption"/>
        <w:keepNext/>
        <w:keepLines/>
      </w:pPr>
      <w:r>
        <w:t xml:space="preserve">my_predictor.h | pm_update | lines 61–68</w:t>
      </w:r>
    </w:p>
    <w:p>
      <w:pPr>
        <w:pStyle w:val="Code"/>
        <w:keepLines/>
      </w:pPr>
      <w:r>
        <w:t xml:space="preserve">class pm_update : public branch_update {</w:t>
        <w:br/>
        <w:t xml:space="preserve">public:</w:t>
        <w:br/>
        <w:t xml:space="preserve">        unsigned int index;      // bimodal index at prediction time</w:t>
        <w:br/>
        <w:t xml:space="preserve">        unsigned int set_index;  // global set at prediction time</w:t>
        <w:br/>
        <w:t xml:space="preserve">        unsigned int tag;</w:t>
        <w:br/>
        <w:t xml:space="preserve">        int way;                 // -1 for a global miss</w:t>
        <w:br/>
        <w:t xml:space="preserve">        bool conditional;</w:t>
        <w:br/>
        <w:t xml:space="preserve">};</w:t>
      </w:r>
    </w:p>
    <w:p>
      <w:pPr>
        <w:pStyle w:val="CodeCaption"/>
        <w:keepNext/>
        <w:keepLines/>
      </w:pPr>
      <w:r>
        <w:t xml:space="preserve">my_predictor.h | pm_predictor configuration and state | lines 72–86</w:t>
      </w:r>
    </w:p>
    <w:p>
      <w:pPr>
        <w:pStyle w:val="Code"/>
        <w:keepLines/>
      </w:pPr>
      <w:r>
        <w:t xml:space="preserve">enum {</w:t>
        <w:br/>
        <w:t xml:space="preserve">    BIMODAL_BITS = 12, SET_BITS = 9, TAG_BITS = 6,</w:t>
        <w:br/>
        <w:t xml:space="preserve">    HISTORY_LENGTH = SET_BITS + TAG_BITS, WAYS = 2</w:t>
        <w:br/>
        <w:t xml:space="preserve">};</w:t>
        <w:br/>
        <w:t xml:space="preserve">struct global_entry {</w:t>
        <w:br/>
        <w:t xml:space="preserve">    unsigned char tag;</w:t>
        <w:br/>
        <w:t xml:space="preserve">    unsigned char counter;</w:t>
        <w:br/>
        <w:t xml:space="preserve">    bool valid;</w:t>
        <w:br/>
        <w:t xml:space="preserve">};</w:t>
        <w:br/>
        <w:t xml:space="preserve"/>
        <w:br/>
        <w:t xml:space="preserve">pm_update u;</w:t>
        <w:br/>
        <w:t xml:space="preserve">unsigned int history;</w:t>
        <w:br/>
        <w:t xml:space="preserve">unsigned char bimodal[1 &lt;&lt; BIMODAL_BITS];</w:t>
        <w:br/>
        <w:t xml:space="preserve">global_entry global[1 &lt;&lt; SET_BITS][WAYS];</w:t>
        <w:br/>
        <w:t xml:space="preserve">unsigned char lru[1 &lt;&lt; SET_BITS]; // next victim when both ways are valid</w:t>
      </w:r>
    </w:p>
    <w:p>
      <w:pPr>
        <w:pStyle w:val="CodeCaption"/>
        <w:keepNext/>
        <w:keepLines/>
      </w:pPr>
      <w:r>
        <w:t xml:space="preserve">my_predictor.h | pm_predictor constructor | lines 88–98</w:t>
      </w:r>
    </w:p>
    <w:p>
      <w:pPr>
        <w:pStyle w:val="Code"/>
        <w:keepLines/>
      </w:pPr>
      <w:r>
        <w:t xml:space="preserve">pm_predictor (void) : history(0) {</w:t>
        <w:br/>
        <w:t xml:space="preserve">    std::memset(bimodal, 1, sizeof(bimodal)); // weakly not taken</w:t>
        <w:br/>
        <w:t xml:space="preserve">    std::memset(lru, 0, sizeof(lru));</w:t>
        <w:br/>
        <w:t xml:space="preserve">    for (unsigned int set = 0; set &lt; (1u &lt;&lt; SET_BITS); ++set) {</w:t>
        <w:br/>
        <w:t xml:space="preserve">        for (int way = 0; way &lt; WAYS; ++way) {</w:t>
        <w:br/>
        <w:t xml:space="preserve">            global[set][way].tag = 0;</w:t>
        <w:br/>
        <w:t xml:space="preserve">            global[set][way].counter = 1;</w:t>
        <w:br/>
        <w:t xml:space="preserve">            global[set][way].valid = false;</w:t>
        <w:br/>
        <w:t xml:space="preserve">        }</w:t>
        <w:br/>
        <w:t xml:space="preserve">    }</w:t>
        <w:br/>
        <w:t xml:space="preserve">}</w:t>
      </w:r>
    </w:p>
    <w:p>
      <w:pPr>
        <w:pStyle w:val="Heading2"/>
        <w:keepNext/>
        <w:keepLines/>
        <w:pageBreakBefore/>
      </w:pPr>
      <w:r>
        <w:t xml:space="preserve">2.2 Prediction and Global-Hit Selection</w:t>
      </w:r>
    </w:p>
    <w:p>
      <w:pPr>
        <w:pStyle w:val="Normal"/>
      </w:pPr>
      <w:r>
        <w:t xml:space="preserve">The initial predict() always returns taken. The implementation indexes the bimodal table with the low 12 address bits and computes the global set and tag from the address/history XOR. It searches both ways and accepts only a valid matching tag. A hit selects the global counter; a miss selects the bimodal counter.</w:t>
      </w:r>
    </w:p>
    <w:p>
      <w:pPr>
        <w:pStyle w:val="Heading3"/>
        <w:keepNext/>
        <w:keepLines/>
      </w:pPr>
      <w:r>
        <w:t xml:space="preserve">2.2.1 Initial Version</w:t>
      </w:r>
    </w:p>
    <w:p>
      <w:pPr>
        <w:pStyle w:val="CodeCaption"/>
        <w:keepNext/>
        <w:keepLines/>
      </w:pPr>
      <w:r>
        <w:t xml:space="preserve">my_predictor.h | pm_predictor::predict | lines 69–78</w:t>
      </w:r>
    </w:p>
    <w:p>
      <w:pPr>
        <w:pStyle w:val="Code"/>
        <w:keepLines/>
      </w:pPr>
      <w:r>
        <w:t xml:space="preserve">branch_update *predict (branch_info &amp; b) {</w:t>
        <w:br/>
        <w:t xml:space="preserve"/>
        <w:br/>
        <w:t xml:space="preserve">    // predict branch outcome</w:t>
        <w:br/>
        <w:t xml:space="preserve">    u.direction_prediction (true);</w:t>
        <w:br/>
        <w:t xml:space="preserve"/>
        <w:br/>
        <w:t xml:space="preserve">    // predict branch target address</w:t>
        <w:br/>
        <w:t xml:space="preserve">    u.target_prediction (0);</w:t>
        <w:br/>
        <w:t xml:space="preserve"/>
        <w:br/>
        <w:t xml:space="preserve">    return &amp;u;</w:t>
        <w:br/>
        <w:t xml:space="preserve">}</w:t>
      </w:r>
    </w:p>
    <w:p>
      <w:pPr>
        <w:pStyle w:val="Heading3"/>
        <w:keepNext/>
        <w:keepLines/>
      </w:pPr>
      <w:r>
        <w:t xml:space="preserve">2.2.2 Modified Version</w:t>
      </w:r>
    </w:p>
    <w:p>
      <w:pPr>
        <w:pStyle w:val="CodeCaption"/>
        <w:keepNext/>
        <w:keepLines/>
      </w:pPr>
      <w:r>
        <w:t xml:space="preserve">my_predictor.h | pm_predictor::predict | lines 100–123</w:t>
      </w:r>
    </w:p>
    <w:p>
      <w:pPr>
        <w:pStyle w:val="Code"/>
        <w:keepLines/>
      </w:pPr>
      <w:r>
        <w:t xml:space="preserve">branch_update *predict (branch_info &amp; b) override {</w:t>
        <w:br/>
        <w:t xml:space="preserve">    u.conditional = (b.br_flags &amp; BR_CONDITIONAL) != 0;</w:t>
        <w:br/>
        <w:t xml:space="preserve">    u.way = -1;</w:t>
        <w:br/>
        <w:t xml:space="preserve">    u.direction_prediction (true);</w:t>
        <w:br/>
        <w:t xml:space="preserve">    u.target_prediction (0); // target prediction is outside this assignment</w:t>
        <w:br/>
        <w:t xml:space="preserve">    if (!u.conditional) return &amp;u;</w:t>
        <w:br/>
        <w:t xml:space="preserve"/>
        <w:br/>
        <w:t xml:space="preserve">    u.index = b.address &amp; ((1u &lt;&lt; BIMODAL_BITS) - 1);</w:t>
        <w:br/>
        <w:t xml:space="preserve">    const unsigned int hash = (b.address ^ history)</w:t>
        <w:br/>
        <w:t xml:space="preserve">                              &amp; ((1u &lt;&lt; HISTORY_LENGTH) - 1);</w:t>
        <w:br/>
        <w:t xml:space="preserve">    u.set_index = hash &gt;&gt; TAG_BITS;</w:t>
        <w:br/>
        <w:t xml:space="preserve">    u.tag = hash &amp; ((1u &lt;&lt; TAG_BITS) - 1);</w:t>
        <w:br/>
        <w:t xml:space="preserve">    for (int way = 0; way &lt; WAYS; ++way) {</w:t>
        <w:br/>
        <w:t xml:space="preserve">        const global_entry &amp;entry = global[u.set_index][way];</w:t>
        <w:br/>
        <w:t xml:space="preserve">        if (entry.valid &amp;&amp; entry.tag == u.tag) {</w:t>
        <w:br/>
        <w:t xml:space="preserve">            u.way = way;</w:t>
        <w:br/>
        <w:t xml:space="preserve">            break;</w:t>
        <w:br/>
        <w:t xml:space="preserve">        }</w:t>
        <w:br/>
        <w:t xml:space="preserve">    }</w:t>
        <w:br/>
        <w:t xml:space="preserve">    const unsigned char counter = u.way &gt;= 0</w:t>
        <w:br/>
        <w:t xml:space="preserve">        ? global[u.set_index][u.way].counter : bimodal[u.index];</w:t>
        <w:br/>
        <w:t xml:space="preserve">    u.direction_prediction(counter &gt;= 2);</w:t>
        <w:br/>
        <w:t xml:space="preserve">    return &amp;u;</w:t>
        <w:br/>
        <w:t xml:space="preserve">}</w:t>
      </w:r>
    </w:p>
    <w:p>
      <w:pPr>
        <w:pStyle w:val="Normal"/>
      </w:pPr>
      <w:r>
        <w:t xml:space="preserve">Unconditional branches return taken and do not access the prediction tables. The target output remains zero because branch target prediction is outside the required model. Global misses are recorded as way = −1 for subsequent allocation.</w:t>
      </w:r>
    </w:p>
    <w:p>
      <w:pPr>
        <w:pStyle w:val="Heading2"/>
        <w:keepNext/>
        <w:keepLines/>
        <w:pageBreakBefore/>
      </w:pPr>
      <w:r>
        <w:t xml:space="preserve">2.3 Counter Training, Allocation, and History</w:t>
      </w:r>
    </w:p>
    <w:p>
      <w:pPr>
        <w:pStyle w:val="Normal"/>
      </w:pPr>
      <w:r>
        <w:t xml:space="preserve">The initial update() does nothing. The modified version trains bimodal on every conditional outcome. On a global miss, it first chooses an invalid way and otherwise uses the LRU victim. The selected slot keeps its previous counter and trains it with the actual outcome, following the worked updates in Appendix B. On a hit, it trains the matching entry.</w:t>
      </w:r>
    </w:p>
    <w:p>
      <w:pPr>
        <w:pStyle w:val="Heading3"/>
        <w:keepNext/>
        <w:keepLines/>
      </w:pPr>
      <w:r>
        <w:t xml:space="preserve">2.3.1 Initial Version</w:t>
      </w:r>
    </w:p>
    <w:p>
      <w:pPr>
        <w:pStyle w:val="CodeCaption"/>
        <w:keepNext/>
        <w:keepLines/>
      </w:pPr>
      <w:r>
        <w:t xml:space="preserve">my_predictor.h | pm_predictor::update | lines 80–82</w:t>
      </w:r>
    </w:p>
    <w:p>
      <w:pPr>
        <w:pStyle w:val="Code"/>
        <w:keepLines/>
      </w:pPr>
      <w:r>
        <w:t xml:space="preserve">void update (branch_update *u, bool taken, unsigned int target) {</w:t>
        <w:br/>
        <w:t xml:space="preserve"/>
        <w:br/>
        <w:t xml:space="preserve">}</w:t>
      </w:r>
    </w:p>
    <w:p>
      <w:pPr>
        <w:pStyle w:val="Heading3"/>
        <w:keepNext/>
        <w:keepLines/>
      </w:pPr>
      <w:r>
        <w:t xml:space="preserve">2.3.2 Modified Version</w:t>
      </w:r>
    </w:p>
    <w:p>
      <w:pPr>
        <w:pStyle w:val="CodeCaption"/>
        <w:keepNext/>
        <w:keepLines/>
      </w:pPr>
      <w:r>
        <w:t xml:space="preserve">my_predictor.h | pm_predictor::train | lines 125–131</w:t>
      </w:r>
    </w:p>
    <w:p>
      <w:pPr>
        <w:pStyle w:val="Code"/>
        <w:keepLines/>
      </w:pPr>
      <w:r>
        <w:t xml:space="preserve">static void train(unsigned char &amp;counter, bool taken) {</w:t>
        <w:br/>
        <w:t xml:space="preserve">    if (taken) {</w:t>
        <w:br/>
        <w:t xml:space="preserve">        if (counter &lt; 3) ++counter;</w:t>
        <w:br/>
        <w:t xml:space="preserve">    } else {</w:t>
        <w:br/>
        <w:t xml:space="preserve">        if (counter &gt; 0) --counter;</w:t>
        <w:br/>
        <w:t xml:space="preserve">    }</w:t>
        <w:br/>
        <w:t xml:space="preserve">}</w:t>
      </w:r>
    </w:p>
    <w:p>
      <w:pPr>
        <w:pStyle w:val="CodeCaption"/>
        <w:keepNext/>
        <w:keepLines/>
      </w:pPr>
      <w:r>
        <w:t xml:space="preserve">my_predictor.h | pm_predictor::update | lines 133–157</w:t>
      </w:r>
    </w:p>
    <w:p>
      <w:pPr>
        <w:pStyle w:val="Code"/>
        <w:keepLines/>
      </w:pPr>
      <w:r>
        <w:t xml:space="preserve">void update (branch_update *update, bool taken, unsigned int) override {</w:t>
        <w:br/>
        <w:t xml:space="preserve">    pm_update &amp;prediction = *static_cast&lt;pm_update *&gt;(update);</w:t>
        <w:br/>
        <w:t xml:space="preserve">    if (!prediction.conditional) return;</w:t>
        <w:br/>
        <w:t xml:space="preserve"/>
        <w:br/>
        <w:t xml:space="preserve">    train(bimodal[prediction.index], taken);</w:t>
        <w:br/>
        <w:t xml:space="preserve">    int way = prediction.way;</w:t>
        <w:br/>
        <w:t xml:space="preserve">    if (way &lt; 0) {</w:t>
        <w:br/>
        <w:t xml:space="preserve">        way = lru[prediction.set_index];</w:t>
        <w:br/>
        <w:t xml:space="preserve">        for (int candidate = 0; candidate &lt; WAYS; ++candidate) {</w:t>
        <w:br/>
        <w:t xml:space="preserve">            if (!global[prediction.set_index][candidate].valid) {</w:t>
        <w:br/>
        <w:t xml:space="preserve">                way = candidate;</w:t>
        <w:br/>
        <w:t xml:space="preserve">                break;</w:t>
        <w:br/>
        <w:t xml:space="preserve">            }</w:t>
        <w:br/>
        <w:t xml:space="preserve">        }</w:t>
        <w:br/>
        <w:t xml:space="preserve">        global_entry &amp;entry = global[prediction.set_index][way];</w:t>
        <w:br/>
        <w:t xml:space="preserve">        entry.valid = true;</w:t>
        <w:br/>
        <w:t xml:space="preserve">        entry.tag = static_cast&lt;unsigned char&gt;(prediction.tag);</w:t>
        <w:br/>
        <w:t xml:space="preserve">        // Appendix B trains the selected slot's existing counter,</w:t>
        <w:br/>
        <w:t xml:space="preserve">        // including when that slot is allocated to a different tag.</w:t>
        <w:br/>
        <w:t xml:space="preserve">    }</w:t>
        <w:br/>
        <w:t xml:space="preserve">    train(global[prediction.set_index][way].counter, taken);</w:t>
        <w:br/>
        <w:t xml:space="preserve">    lru[prediction.set_index] = static_cast&lt;unsigned char&gt;(1 - way);</w:t>
        <w:br/>
        <w:t xml:space="preserve">    history = ((history &lt;&lt; 1) | static_cast&lt;unsigned int&gt;(taken))</w:t>
        <w:br/>
        <w:t xml:space="preserve">              &amp; ((1u &lt;&lt; HISTORY_LENGTH) - 1);</w:t>
        <w:br/>
        <w:t xml:space="preserve">}</w:t>
      </w:r>
    </w:p>
    <w:p>
      <w:pPr>
        <w:pStyle w:val="Normal"/>
      </w:pPr>
      <w:r>
        <w:t xml:space="preserve">Counters saturate at 0 and 3. After either a hit or allocation, the other way becomes the next LRU victim. History shifts left, appends the actual conditional outcome, and retains 15 bits. Nonconditional branches leave counters, tags, replacement state, and history unchanged.</w:t>
      </w:r>
    </w:p>
    <w:p>
      <w:pPr>
        <w:pStyle w:val="Heading2"/>
        <w:keepNext/>
        <w:keepLines/>
        <w:pageBreakBefore/>
      </w:pPr>
      <w:r>
        <w:t xml:space="preserve">2.4 Direction-Misprediction Measurement</w:t>
      </w:r>
    </w:p>
    <w:p>
      <w:pPr>
        <w:pStyle w:val="Normal"/>
      </w:pPr>
      <w:r>
        <w:t xml:space="preserve">The driver keeps the supplied MPKI definition and counts direction errors before updating the predictor. It also records the exact number of conditional branches and direction misses, allowing the reported totals and average to be checked without relying on rounded MPKI output.</w:t>
      </w:r>
    </w:p>
    <w:p>
      <w:pPr>
        <w:pStyle w:val="Heading3"/>
        <w:keepNext/>
        <w:keepLines/>
      </w:pPr>
      <w:r>
        <w:t xml:space="preserve">2.4.1 Initial Version</w:t>
      </w:r>
    </w:p>
    <w:p>
      <w:pPr>
        <w:pStyle w:val="CodeCaption"/>
        <w:keepNext/>
        <w:keepLines/>
      </w:pPr>
      <w:r>
        <w:t xml:space="preserve">predict.cc | main: counters | lines 36–38</w:t>
      </w:r>
    </w:p>
    <w:p>
      <w:pPr>
        <w:pStyle w:val="Code"/>
        <w:keepLines/>
      </w:pPr>
      <w:r>
        <w:t xml:space="preserve">long long int </w:t>
        <w:br/>
        <w:t xml:space="preserve">    tmiss = 0,  // number of target mispredictions</w:t>
        <w:br/>
        <w:t xml:space="preserve">    dmiss = 0;  // number of direction mispredictions</w:t>
      </w:r>
    </w:p>
    <w:p>
      <w:pPr>
        <w:pStyle w:val="CodeCaption"/>
        <w:keepNext/>
        <w:keepLines/>
      </w:pPr>
      <w:r>
        <w:t xml:space="preserve">predict.cc | main: MPKI output | lines 81–81</w:t>
      </w:r>
    </w:p>
    <w:p>
      <w:pPr>
        <w:pStyle w:val="Code"/>
        <w:keepLines/>
      </w:pPr>
      <w:r>
        <w:t xml:space="preserve">printf ("%0.3f MPKI\n", 1000.0 * (dmiss / 1e8));</w:t>
      </w:r>
    </w:p>
    <w:p>
      <w:pPr>
        <w:pStyle w:val="Heading3"/>
        <w:keepNext/>
        <w:keepLines/>
      </w:pPr>
      <w:r>
        <w:t xml:space="preserve">2.4.2 Modified Version</w:t>
      </w:r>
    </w:p>
    <w:p>
      <w:pPr>
        <w:pStyle w:val="CodeCaption"/>
        <w:keepNext/>
        <w:keepLines/>
      </w:pPr>
      <w:r>
        <w:t xml:space="preserve">predict.cc | main: counters | lines 36–36</w:t>
      </w:r>
    </w:p>
    <w:p>
      <w:pPr>
        <w:pStyle w:val="Code"/>
        <w:keepLines/>
      </w:pPr>
      <w:r>
        <w:t xml:space="preserve">long long int conditional = 0, dmiss = 0;</w:t>
      </w:r>
    </w:p>
    <w:p>
      <w:pPr>
        <w:pStyle w:val="CodeCaption"/>
        <w:keepNext/>
        <w:keepLines/>
      </w:pPr>
      <w:r>
        <w:t xml:space="preserve">predict.cc | main: conditional direction misses | lines 56–63</w:t>
      </w:r>
    </w:p>
    <w:p>
      <w:pPr>
        <w:pStyle w:val="Code"/>
        <w:keepLines/>
      </w:pPr>
      <w:r>
        <w:t xml:space="preserve">if (t-&gt;bi.br_flags &amp; BR_CONDITIONAL) {</w:t>
        <w:br/>
        <w:t xml:space="preserve">    ++conditional;</w:t>
        <w:br/>
        <w:t xml:space="preserve"/>
        <w:br/>
        <w:t xml:space="preserve">    // count a direction misprediction</w:t>
        <w:br/>
        <w:t xml:space="preserve"/>
        <w:br/>
        <w:t xml:space="preserve">    dmiss += u-&gt;direction_prediction () != t-&gt;taken;</w:t>
        <w:br/>
        <w:t xml:space="preserve"/>
        <w:br/>
        <w:t xml:space="preserve">}</w:t>
      </w:r>
    </w:p>
    <w:p>
      <w:pPr>
        <w:pStyle w:val="CodeCaption"/>
        <w:keepNext/>
        <w:keepLines/>
      </w:pPr>
      <w:r>
        <w:t xml:space="preserve">predict.cc | main: exact counts and MPKI output | lines 77–80</w:t>
      </w:r>
    </w:p>
    <w:p>
      <w:pPr>
        <w:pStyle w:val="Code"/>
        <w:keepLines/>
      </w:pPr>
      <w:r>
        <w:t xml:space="preserve">if (argc == 3) {</w:t>
        <w:br/>
        <w:t xml:space="preserve">    printf("Conditional branches: %lld\nDirection misses: %lld\n", conditional, dmiss);</w:t>
        <w:br/>
        <w:t xml:space="preserve">}</w:t>
        <w:br/>
        <w:t xml:space="preserve">printf ("%0.3f MPKI\n", 1000.0 * (dmiss / 1e8));</w:t>
      </w:r>
    </w:p>
    <w:p>
      <w:pPr>
        <w:pStyle w:val="Heading1"/>
        <w:keepNext/>
        <w:keepLines/>
      </w:pPr>
      <w:r>
        <w:t xml:space="preserve">3 Results</w:t>
      </w:r>
    </w:p>
    <w:p>
      <w:pPr>
        <w:pStyle w:val="Heading2"/>
        <w:keepNext/>
        <w:keepLines/>
      </w:pPr>
      <w:r>
        <w:t xml:space="preserve">3.1 Experimental Setup</w:t>
      </w:r>
    </w:p>
    <w:p>
      <w:pPr>
        <w:pStyle w:val="Normal"/>
      </w:pPr>
      <w:r>
        <w:t xml:space="preserve">Each of the 20 supplied traces represents 100,000,000 executed instructions. Each run starts with a new predictor in the initial state listed in Section 2. All branches are passed through predict() and update(); only conditional direction errors contribute to MPKI. Lower MPKI is better.</w:t>
      </w:r>
    </w:p>
    <w:p>
      <w:pPr>
        <w:pStyle w:val="Normal"/>
      </w:pPr>
      <w:r>
        <w:rPr>
          <w:b/>
        </w:rPr>
        <w:t xml:space="preserve">MPKI = 1,000 × direction misses / 100,000,000 = direction misses / 100,000.</w:t>
      </w:r>
    </w:p>
    <w:p>
      <w:pPr>
        <w:pStyle w:val="Normal"/>
      </w:pPr>
      <w:r>
        <w:t xml:space="preserve">The denominator is the executed instruction count, not the number of conditional branches. The following table gives the exact branch and miss counts; MPKI is rounded to three decimal places.</w:t>
      </w:r>
    </w:p>
    <w:p>
      <w:pPr>
        <w:pStyle w:val="Heading2"/>
        <w:keepNext/>
        <w:keepLines/>
        <w:pageBreakBefore/>
      </w:pPr>
      <w:r>
        <w:t xml:space="preserve">3.2 Benchmark Results</w:t>
      </w:r>
    </w:p>
    <w:tbl>
      <w:tblPr>
        <w:tblW w:w="9580" w:type="dxa"/>
        <w:tblBorders>
          <w:top w:val="single" w:sz="4" w:color="B9C1C8"/>
          <w:left w:val="single" w:sz="4" w:color="B9C1C8"/>
          <w:bottom w:val="single" w:sz="4" w:color="B9C1C8"/>
          <w:right w:val="single" w:sz="4" w:color="B9C1C8"/>
          <w:insideH w:val="single" w:sz="4" w:color="B9C1C8"/>
          <w:insideV w:val="single" w:sz="4" w:color="B9C1C8"/>
        </w:tblBorders>
        <w:tblLayout w:type="fixed"/>
        <w:tblCellMar>
          <w:top w:w="75" w:type="dxa"/>
          <w:bottom w:w="75" w:type="dxa"/>
          <w:left w:w="105" w:type="dxa"/>
          <w:right w:w="105" w:type="dxa"/>
        </w:tblCellMar>
      </w:tblPr>
      <w:tblGrid>
        <w:gridCol w:w="2230"/>
        <w:gridCol w:w="2750"/>
        <w:gridCol w:w="2650"/>
        <w:gridCol w:w="1950"/>
      </w:tblGrid>
      <w:tr>
        <w:trPr>
          <w:cantSplit/>
          <w:tblHeader/>
        </w:trPr>
        <w:tc>
          <w:tcPr>
            <w:tcW w:w="2230" w:type="dxa"/>
            <w:shd w:val="clear" w:fill="DEE7ED" w:color="auto"/>
            <w:vAlign w:val="center"/>
          </w:tcPr>
          <w:p>
            <w:pPr>
              <w:pStyle w:val="TableText"/>
            </w:pPr>
            <w:r>
              <w:rPr>
                <w:b/>
              </w:rPr>
              <w:t xml:space="preserve">Benchmark</w:t>
            </w:r>
          </w:p>
        </w:tc>
        <w:tc>
          <w:tcPr>
            <w:tcW w:w="2750" w:type="dxa"/>
            <w:shd w:val="clear" w:fill="DEE7ED" w:color="auto"/>
            <w:vAlign w:val="center"/>
          </w:tcPr>
          <w:p>
            <w:pPr>
              <w:pStyle w:val="TableText"/>
            </w:pPr>
            <w:r>
              <w:rPr>
                <w:b/>
              </w:rPr>
              <w:t xml:space="preserve">Conditional branches</w:t>
            </w:r>
          </w:p>
        </w:tc>
        <w:tc>
          <w:tcPr>
            <w:tcW w:w="2650" w:type="dxa"/>
            <w:shd w:val="clear" w:fill="DEE7ED" w:color="auto"/>
            <w:vAlign w:val="center"/>
          </w:tcPr>
          <w:p>
            <w:pPr>
              <w:pStyle w:val="TableText"/>
            </w:pPr>
            <w:r>
              <w:rPr>
                <w:b/>
              </w:rPr>
              <w:t xml:space="preserve">Direction misses</w:t>
            </w:r>
          </w:p>
        </w:tc>
        <w:tc>
          <w:tcPr>
            <w:tcW w:w="1950" w:type="dxa"/>
            <w:shd w:val="clear" w:fill="DEE7ED" w:color="auto"/>
            <w:vAlign w:val="center"/>
          </w:tcPr>
          <w:p>
            <w:pPr>
              <w:pStyle w:val="TableText"/>
            </w:pPr>
            <w:r>
              <w:rPr>
                <w:b/>
              </w:rPr>
              <w:t xml:space="preserve">MPKI</w:t>
            </w:r>
          </w:p>
        </w:tc>
      </w:tr>
      <w:tr>
        <w:trPr>
          <w:cantSplit/>
        </w:trPr>
        <w:tc>
          <w:tcPr>
            <w:tcW w:w="2230" w:type="dxa"/>
            <w:vAlign w:val="center"/>
          </w:tcPr>
          <w:p>
            <w:pPr>
              <w:pStyle w:val="TableText"/>
            </w:pPr>
            <w:r>
              <w:t xml:space="preserve">164.gzip</w:t>
            </w:r>
          </w:p>
        </w:tc>
        <w:tc>
          <w:tcPr>
            <w:tcW w:w="2750" w:type="dxa"/>
            <w:vAlign w:val="center"/>
          </w:tcPr>
          <w:p>
            <w:pPr>
              <w:pStyle w:val="TableText"/>
              <w:jc w:val="right"/>
            </w:pPr>
            <w:r>
              <w:t xml:space="preserve">15,114,596</w:t>
            </w:r>
          </w:p>
        </w:tc>
        <w:tc>
          <w:tcPr>
            <w:tcW w:w="2650" w:type="dxa"/>
            <w:vAlign w:val="center"/>
          </w:tcPr>
          <w:p>
            <w:pPr>
              <w:pStyle w:val="TableText"/>
              <w:jc w:val="right"/>
            </w:pPr>
            <w:r>
              <w:t xml:space="preserve">1,294,987</w:t>
            </w:r>
          </w:p>
        </w:tc>
        <w:tc>
          <w:tcPr>
            <w:tcW w:w="1950" w:type="dxa"/>
            <w:vAlign w:val="center"/>
          </w:tcPr>
          <w:p>
            <w:pPr>
              <w:pStyle w:val="TableText"/>
              <w:jc w:val="right"/>
            </w:pPr>
            <w:r>
              <w:t xml:space="preserve">12.950</w:t>
            </w:r>
          </w:p>
        </w:tc>
      </w:tr>
      <w:tr>
        <w:trPr>
          <w:cantSplit/>
        </w:trPr>
        <w:tc>
          <w:tcPr>
            <w:tcW w:w="2230" w:type="dxa"/>
            <w:shd w:val="clear" w:fill="F5F7F9" w:color="auto"/>
            <w:vAlign w:val="center"/>
          </w:tcPr>
          <w:p>
            <w:pPr>
              <w:pStyle w:val="TableText"/>
            </w:pPr>
            <w:r>
              <w:t xml:space="preserve">175.vpr</w:t>
            </w:r>
          </w:p>
        </w:tc>
        <w:tc>
          <w:tcPr>
            <w:tcW w:w="2750" w:type="dxa"/>
            <w:shd w:val="clear" w:fill="F5F7F9" w:color="auto"/>
            <w:vAlign w:val="center"/>
          </w:tcPr>
          <w:p>
            <w:pPr>
              <w:pStyle w:val="TableText"/>
              <w:jc w:val="right"/>
            </w:pPr>
            <w:r>
              <w:t xml:space="preserve">12,827,221</w:t>
            </w:r>
          </w:p>
        </w:tc>
        <w:tc>
          <w:tcPr>
            <w:tcW w:w="2650" w:type="dxa"/>
            <w:shd w:val="clear" w:fill="F5F7F9" w:color="auto"/>
            <w:vAlign w:val="center"/>
          </w:tcPr>
          <w:p>
            <w:pPr>
              <w:pStyle w:val="TableText"/>
              <w:jc w:val="right"/>
            </w:pPr>
            <w:r>
              <w:t xml:space="preserve">1,682,106</w:t>
            </w:r>
          </w:p>
        </w:tc>
        <w:tc>
          <w:tcPr>
            <w:tcW w:w="1950" w:type="dxa"/>
            <w:shd w:val="clear" w:fill="F5F7F9" w:color="auto"/>
            <w:vAlign w:val="center"/>
          </w:tcPr>
          <w:p>
            <w:pPr>
              <w:pStyle w:val="TableText"/>
              <w:jc w:val="right"/>
            </w:pPr>
            <w:r>
              <w:t xml:space="preserve">16.821</w:t>
            </w:r>
          </w:p>
        </w:tc>
      </w:tr>
      <w:tr>
        <w:trPr>
          <w:cantSplit/>
        </w:trPr>
        <w:tc>
          <w:tcPr>
            <w:tcW w:w="2230" w:type="dxa"/>
            <w:vAlign w:val="center"/>
          </w:tcPr>
          <w:p>
            <w:pPr>
              <w:pStyle w:val="TableText"/>
            </w:pPr>
            <w:r>
              <w:t xml:space="preserve">176.gcc</w:t>
            </w:r>
          </w:p>
        </w:tc>
        <w:tc>
          <w:tcPr>
            <w:tcW w:w="2750" w:type="dxa"/>
            <w:vAlign w:val="center"/>
          </w:tcPr>
          <w:p>
            <w:pPr>
              <w:pStyle w:val="TableText"/>
              <w:jc w:val="right"/>
            </w:pPr>
            <w:r>
              <w:t xml:space="preserve">17,083,242</w:t>
            </w:r>
          </w:p>
        </w:tc>
        <w:tc>
          <w:tcPr>
            <w:tcW w:w="2650" w:type="dxa"/>
            <w:vAlign w:val="center"/>
          </w:tcPr>
          <w:p>
            <w:pPr>
              <w:pStyle w:val="TableText"/>
              <w:jc w:val="right"/>
            </w:pPr>
            <w:r>
              <w:t xml:space="preserve">1,979,917</w:t>
            </w:r>
          </w:p>
        </w:tc>
        <w:tc>
          <w:tcPr>
            <w:tcW w:w="1950" w:type="dxa"/>
            <w:vAlign w:val="center"/>
          </w:tcPr>
          <w:p>
            <w:pPr>
              <w:pStyle w:val="TableText"/>
              <w:jc w:val="right"/>
            </w:pPr>
            <w:r>
              <w:t xml:space="preserve">19.799</w:t>
            </w:r>
          </w:p>
        </w:tc>
      </w:tr>
      <w:tr>
        <w:trPr>
          <w:cantSplit/>
        </w:trPr>
        <w:tc>
          <w:tcPr>
            <w:tcW w:w="2230" w:type="dxa"/>
            <w:shd w:val="clear" w:fill="F5F7F9" w:color="auto"/>
            <w:vAlign w:val="center"/>
          </w:tcPr>
          <w:p>
            <w:pPr>
              <w:pStyle w:val="TableText"/>
            </w:pPr>
            <w:r>
              <w:t xml:space="preserve">181.mcf</w:t>
            </w:r>
          </w:p>
        </w:tc>
        <w:tc>
          <w:tcPr>
            <w:tcW w:w="2750" w:type="dxa"/>
            <w:shd w:val="clear" w:fill="F5F7F9" w:color="auto"/>
            <w:vAlign w:val="center"/>
          </w:tcPr>
          <w:p>
            <w:pPr>
              <w:pStyle w:val="TableText"/>
              <w:jc w:val="right"/>
            </w:pPr>
            <w:r>
              <w:t xml:space="preserve">21,700,420</w:t>
            </w:r>
          </w:p>
        </w:tc>
        <w:tc>
          <w:tcPr>
            <w:tcW w:w="2650" w:type="dxa"/>
            <w:shd w:val="clear" w:fill="F5F7F9" w:color="auto"/>
            <w:vAlign w:val="center"/>
          </w:tcPr>
          <w:p>
            <w:pPr>
              <w:pStyle w:val="TableText"/>
              <w:jc w:val="right"/>
            </w:pPr>
            <w:r>
              <w:t xml:space="preserve">2,007,479</w:t>
            </w:r>
          </w:p>
        </w:tc>
        <w:tc>
          <w:tcPr>
            <w:tcW w:w="1950" w:type="dxa"/>
            <w:shd w:val="clear" w:fill="F5F7F9" w:color="auto"/>
            <w:vAlign w:val="center"/>
          </w:tcPr>
          <w:p>
            <w:pPr>
              <w:pStyle w:val="TableText"/>
              <w:jc w:val="right"/>
            </w:pPr>
            <w:r>
              <w:t xml:space="preserve">20.075</w:t>
            </w:r>
          </w:p>
        </w:tc>
      </w:tr>
      <w:tr>
        <w:trPr>
          <w:cantSplit/>
        </w:trPr>
        <w:tc>
          <w:tcPr>
            <w:tcW w:w="2230" w:type="dxa"/>
            <w:vAlign w:val="center"/>
          </w:tcPr>
          <w:p>
            <w:pPr>
              <w:pStyle w:val="TableText"/>
            </w:pPr>
            <w:r>
              <w:t xml:space="preserve">186.crafty</w:t>
            </w:r>
          </w:p>
        </w:tc>
        <w:tc>
          <w:tcPr>
            <w:tcW w:w="2750" w:type="dxa"/>
            <w:vAlign w:val="center"/>
          </w:tcPr>
          <w:p>
            <w:pPr>
              <w:pStyle w:val="TableText"/>
              <w:jc w:val="right"/>
            </w:pPr>
            <w:r>
              <w:t xml:space="preserve">8,927,032</w:t>
            </w:r>
          </w:p>
        </w:tc>
        <w:tc>
          <w:tcPr>
            <w:tcW w:w="2650" w:type="dxa"/>
            <w:vAlign w:val="center"/>
          </w:tcPr>
          <w:p>
            <w:pPr>
              <w:pStyle w:val="TableText"/>
              <w:jc w:val="right"/>
            </w:pPr>
            <w:r>
              <w:t xml:space="preserve">1,081,318</w:t>
            </w:r>
          </w:p>
        </w:tc>
        <w:tc>
          <w:tcPr>
            <w:tcW w:w="1950" w:type="dxa"/>
            <w:vAlign w:val="center"/>
          </w:tcPr>
          <w:p>
            <w:pPr>
              <w:pStyle w:val="TableText"/>
              <w:jc w:val="right"/>
            </w:pPr>
            <w:r>
              <w:t xml:space="preserve">10.813</w:t>
            </w:r>
          </w:p>
        </w:tc>
      </w:tr>
      <w:tr>
        <w:trPr>
          <w:cantSplit/>
        </w:trPr>
        <w:tc>
          <w:tcPr>
            <w:tcW w:w="2230" w:type="dxa"/>
            <w:shd w:val="clear" w:fill="F5F7F9" w:color="auto"/>
            <w:vAlign w:val="center"/>
          </w:tcPr>
          <w:p>
            <w:pPr>
              <w:pStyle w:val="TableText"/>
            </w:pPr>
            <w:r>
              <w:t xml:space="preserve">197.parser</w:t>
            </w:r>
          </w:p>
        </w:tc>
        <w:tc>
          <w:tcPr>
            <w:tcW w:w="2750" w:type="dxa"/>
            <w:shd w:val="clear" w:fill="F5F7F9" w:color="auto"/>
            <w:vAlign w:val="center"/>
          </w:tcPr>
          <w:p>
            <w:pPr>
              <w:pStyle w:val="TableText"/>
              <w:jc w:val="right"/>
            </w:pPr>
            <w:r>
              <w:t xml:space="preserve">14,190,746</w:t>
            </w:r>
          </w:p>
        </w:tc>
        <w:tc>
          <w:tcPr>
            <w:tcW w:w="2650" w:type="dxa"/>
            <w:shd w:val="clear" w:fill="F5F7F9" w:color="auto"/>
            <w:vAlign w:val="center"/>
          </w:tcPr>
          <w:p>
            <w:pPr>
              <w:pStyle w:val="TableText"/>
              <w:jc w:val="right"/>
            </w:pPr>
            <w:r>
              <w:t xml:space="preserve">1,261,126</w:t>
            </w:r>
          </w:p>
        </w:tc>
        <w:tc>
          <w:tcPr>
            <w:tcW w:w="1950" w:type="dxa"/>
            <w:shd w:val="clear" w:fill="F5F7F9" w:color="auto"/>
            <w:vAlign w:val="center"/>
          </w:tcPr>
          <w:p>
            <w:pPr>
              <w:pStyle w:val="TableText"/>
              <w:jc w:val="right"/>
            </w:pPr>
            <w:r>
              <w:t xml:space="preserve">12.611</w:t>
            </w:r>
          </w:p>
        </w:tc>
      </w:tr>
      <w:tr>
        <w:trPr>
          <w:cantSplit/>
        </w:trPr>
        <w:tc>
          <w:tcPr>
            <w:tcW w:w="2230" w:type="dxa"/>
            <w:vAlign w:val="center"/>
          </w:tcPr>
          <w:p>
            <w:pPr>
              <w:pStyle w:val="TableText"/>
            </w:pPr>
            <w:r>
              <w:t xml:space="preserve">201.compress</w:t>
            </w:r>
          </w:p>
        </w:tc>
        <w:tc>
          <w:tcPr>
            <w:tcW w:w="2750" w:type="dxa"/>
            <w:vAlign w:val="center"/>
          </w:tcPr>
          <w:p>
            <w:pPr>
              <w:pStyle w:val="TableText"/>
              <w:jc w:val="right"/>
            </w:pPr>
            <w:r>
              <w:t xml:space="preserve">11,764,885</w:t>
            </w:r>
          </w:p>
        </w:tc>
        <w:tc>
          <w:tcPr>
            <w:tcW w:w="2650" w:type="dxa"/>
            <w:vAlign w:val="center"/>
          </w:tcPr>
          <w:p>
            <w:pPr>
              <w:pStyle w:val="TableText"/>
              <w:jc w:val="right"/>
            </w:pPr>
            <w:r>
              <w:t xml:space="preserve">860,639</w:t>
            </w:r>
          </w:p>
        </w:tc>
        <w:tc>
          <w:tcPr>
            <w:tcW w:w="1950" w:type="dxa"/>
            <w:vAlign w:val="center"/>
          </w:tcPr>
          <w:p>
            <w:pPr>
              <w:pStyle w:val="TableText"/>
              <w:jc w:val="right"/>
            </w:pPr>
            <w:r>
              <w:t xml:space="preserve">8.606</w:t>
            </w:r>
          </w:p>
        </w:tc>
      </w:tr>
      <w:tr>
        <w:trPr>
          <w:cantSplit/>
        </w:trPr>
        <w:tc>
          <w:tcPr>
            <w:tcW w:w="2230" w:type="dxa"/>
            <w:shd w:val="clear" w:fill="F5F7F9" w:color="auto"/>
            <w:vAlign w:val="center"/>
          </w:tcPr>
          <w:p>
            <w:pPr>
              <w:pStyle w:val="TableText"/>
            </w:pPr>
            <w:r>
              <w:t xml:space="preserve">202.jess</w:t>
            </w:r>
          </w:p>
        </w:tc>
        <w:tc>
          <w:tcPr>
            <w:tcW w:w="2750" w:type="dxa"/>
            <w:shd w:val="clear" w:fill="F5F7F9" w:color="auto"/>
            <w:vAlign w:val="center"/>
          </w:tcPr>
          <w:p>
            <w:pPr>
              <w:pStyle w:val="TableText"/>
              <w:jc w:val="right"/>
            </w:pPr>
            <w:r>
              <w:t xml:space="preserve">14,154,055</w:t>
            </w:r>
          </w:p>
        </w:tc>
        <w:tc>
          <w:tcPr>
            <w:tcW w:w="2650" w:type="dxa"/>
            <w:shd w:val="clear" w:fill="F5F7F9" w:color="auto"/>
            <w:vAlign w:val="center"/>
          </w:tcPr>
          <w:p>
            <w:pPr>
              <w:pStyle w:val="TableText"/>
              <w:jc w:val="right"/>
            </w:pPr>
            <w:r>
              <w:t xml:space="preserve">256,142</w:t>
            </w:r>
          </w:p>
        </w:tc>
        <w:tc>
          <w:tcPr>
            <w:tcW w:w="1950" w:type="dxa"/>
            <w:shd w:val="clear" w:fill="F5F7F9" w:color="auto"/>
            <w:vAlign w:val="center"/>
          </w:tcPr>
          <w:p>
            <w:pPr>
              <w:pStyle w:val="TableText"/>
              <w:jc w:val="right"/>
            </w:pPr>
            <w:r>
              <w:t xml:space="preserve">2.561</w:t>
            </w:r>
          </w:p>
        </w:tc>
      </w:tr>
      <w:tr>
        <w:trPr>
          <w:cantSplit/>
        </w:trPr>
        <w:tc>
          <w:tcPr>
            <w:tcW w:w="2230" w:type="dxa"/>
            <w:vAlign w:val="center"/>
          </w:tcPr>
          <w:p>
            <w:pPr>
              <w:pStyle w:val="TableText"/>
            </w:pPr>
            <w:r>
              <w:t xml:space="preserve">205.raytrace</w:t>
            </w:r>
          </w:p>
        </w:tc>
        <w:tc>
          <w:tcPr>
            <w:tcW w:w="2750" w:type="dxa"/>
            <w:vAlign w:val="center"/>
          </w:tcPr>
          <w:p>
            <w:pPr>
              <w:pStyle w:val="TableText"/>
              <w:jc w:val="right"/>
            </w:pPr>
            <w:r>
              <w:t xml:space="preserve">12,201,864</w:t>
            </w:r>
          </w:p>
        </w:tc>
        <w:tc>
          <w:tcPr>
            <w:tcW w:w="2650" w:type="dxa"/>
            <w:vAlign w:val="center"/>
          </w:tcPr>
          <w:p>
            <w:pPr>
              <w:pStyle w:val="TableText"/>
              <w:jc w:val="right"/>
            </w:pPr>
            <w:r>
              <w:t xml:space="preserve">408,923</w:t>
            </w:r>
          </w:p>
        </w:tc>
        <w:tc>
          <w:tcPr>
            <w:tcW w:w="1950" w:type="dxa"/>
            <w:vAlign w:val="center"/>
          </w:tcPr>
          <w:p>
            <w:pPr>
              <w:pStyle w:val="TableText"/>
              <w:jc w:val="right"/>
            </w:pPr>
            <w:r>
              <w:t xml:space="preserve">4.089</w:t>
            </w:r>
          </w:p>
        </w:tc>
      </w:tr>
      <w:tr>
        <w:trPr>
          <w:cantSplit/>
        </w:trPr>
        <w:tc>
          <w:tcPr>
            <w:tcW w:w="2230" w:type="dxa"/>
            <w:shd w:val="clear" w:fill="F5F7F9" w:color="auto"/>
            <w:vAlign w:val="center"/>
          </w:tcPr>
          <w:p>
            <w:pPr>
              <w:pStyle w:val="TableText"/>
            </w:pPr>
            <w:r>
              <w:t xml:space="preserve">209.db</w:t>
            </w:r>
          </w:p>
        </w:tc>
        <w:tc>
          <w:tcPr>
            <w:tcW w:w="2750" w:type="dxa"/>
            <w:shd w:val="clear" w:fill="F5F7F9" w:color="auto"/>
            <w:vAlign w:val="center"/>
          </w:tcPr>
          <w:p>
            <w:pPr>
              <w:pStyle w:val="TableText"/>
              <w:jc w:val="right"/>
            </w:pPr>
            <w:r>
              <w:t xml:space="preserve">13,191,770</w:t>
            </w:r>
          </w:p>
        </w:tc>
        <w:tc>
          <w:tcPr>
            <w:tcW w:w="2650" w:type="dxa"/>
            <w:shd w:val="clear" w:fill="F5F7F9" w:color="auto"/>
            <w:vAlign w:val="center"/>
          </w:tcPr>
          <w:p>
            <w:pPr>
              <w:pStyle w:val="TableText"/>
              <w:jc w:val="right"/>
            </w:pPr>
            <w:r>
              <w:t xml:space="preserve">527,170</w:t>
            </w:r>
          </w:p>
        </w:tc>
        <w:tc>
          <w:tcPr>
            <w:tcW w:w="1950" w:type="dxa"/>
            <w:shd w:val="clear" w:fill="F5F7F9" w:color="auto"/>
            <w:vAlign w:val="center"/>
          </w:tcPr>
          <w:p>
            <w:pPr>
              <w:pStyle w:val="TableText"/>
              <w:jc w:val="right"/>
            </w:pPr>
            <w:r>
              <w:t xml:space="preserve">5.272</w:t>
            </w:r>
          </w:p>
        </w:tc>
      </w:tr>
      <w:tr>
        <w:trPr>
          <w:cantSplit/>
        </w:trPr>
        <w:tc>
          <w:tcPr>
            <w:tcW w:w="2230" w:type="dxa"/>
            <w:vAlign w:val="center"/>
          </w:tcPr>
          <w:p>
            <w:pPr>
              <w:pStyle w:val="TableText"/>
            </w:pPr>
            <w:r>
              <w:t xml:space="preserve">213.javac</w:t>
            </w:r>
          </w:p>
        </w:tc>
        <w:tc>
          <w:tcPr>
            <w:tcW w:w="2750" w:type="dxa"/>
            <w:vAlign w:val="center"/>
          </w:tcPr>
          <w:p>
            <w:pPr>
              <w:pStyle w:val="TableText"/>
              <w:jc w:val="right"/>
            </w:pPr>
            <w:r>
              <w:t xml:space="preserve">12,986,593</w:t>
            </w:r>
          </w:p>
        </w:tc>
        <w:tc>
          <w:tcPr>
            <w:tcW w:w="2650" w:type="dxa"/>
            <w:vAlign w:val="center"/>
          </w:tcPr>
          <w:p>
            <w:pPr>
              <w:pStyle w:val="TableText"/>
              <w:jc w:val="right"/>
            </w:pPr>
            <w:r>
              <w:t xml:space="preserve">328,799</w:t>
            </w:r>
          </w:p>
        </w:tc>
        <w:tc>
          <w:tcPr>
            <w:tcW w:w="1950" w:type="dxa"/>
            <w:vAlign w:val="center"/>
          </w:tcPr>
          <w:p>
            <w:pPr>
              <w:pStyle w:val="TableText"/>
              <w:jc w:val="right"/>
            </w:pPr>
            <w:r>
              <w:t xml:space="preserve">3.288</w:t>
            </w:r>
          </w:p>
        </w:tc>
      </w:tr>
      <w:tr>
        <w:trPr>
          <w:cantSplit/>
        </w:trPr>
        <w:tc>
          <w:tcPr>
            <w:tcW w:w="2230" w:type="dxa"/>
            <w:shd w:val="clear" w:fill="F5F7F9" w:color="auto"/>
            <w:vAlign w:val="center"/>
          </w:tcPr>
          <w:p>
            <w:pPr>
              <w:pStyle w:val="TableText"/>
            </w:pPr>
            <w:r>
              <w:t xml:space="preserve">222.mpegaudio</w:t>
            </w:r>
          </w:p>
        </w:tc>
        <w:tc>
          <w:tcPr>
            <w:tcW w:w="2750" w:type="dxa"/>
            <w:shd w:val="clear" w:fill="F5F7F9" w:color="auto"/>
            <w:vAlign w:val="center"/>
          </w:tcPr>
          <w:p>
            <w:pPr>
              <w:pStyle w:val="TableText"/>
              <w:jc w:val="right"/>
            </w:pPr>
            <w:r>
              <w:t xml:space="preserve">13,021,205</w:t>
            </w:r>
          </w:p>
        </w:tc>
        <w:tc>
          <w:tcPr>
            <w:tcW w:w="2650" w:type="dxa"/>
            <w:shd w:val="clear" w:fill="F5F7F9" w:color="auto"/>
            <w:vAlign w:val="center"/>
          </w:tcPr>
          <w:p>
            <w:pPr>
              <w:pStyle w:val="TableText"/>
              <w:jc w:val="right"/>
            </w:pPr>
            <w:r>
              <w:t xml:space="preserve">325,094</w:t>
            </w:r>
          </w:p>
        </w:tc>
        <w:tc>
          <w:tcPr>
            <w:tcW w:w="1950" w:type="dxa"/>
            <w:shd w:val="clear" w:fill="F5F7F9" w:color="auto"/>
            <w:vAlign w:val="center"/>
          </w:tcPr>
          <w:p>
            <w:pPr>
              <w:pStyle w:val="TableText"/>
              <w:jc w:val="right"/>
            </w:pPr>
            <w:r>
              <w:t xml:space="preserve">3.251</w:t>
            </w:r>
          </w:p>
        </w:tc>
      </w:tr>
      <w:tr>
        <w:trPr>
          <w:cantSplit/>
        </w:trPr>
        <w:tc>
          <w:tcPr>
            <w:tcW w:w="2230" w:type="dxa"/>
            <w:vAlign w:val="center"/>
          </w:tcPr>
          <w:p>
            <w:pPr>
              <w:pStyle w:val="TableText"/>
            </w:pPr>
            <w:r>
              <w:t xml:space="preserve">227.mtrt</w:t>
            </w:r>
          </w:p>
        </w:tc>
        <w:tc>
          <w:tcPr>
            <w:tcW w:w="2750" w:type="dxa"/>
            <w:vAlign w:val="center"/>
          </w:tcPr>
          <w:p>
            <w:pPr>
              <w:pStyle w:val="TableText"/>
              <w:jc w:val="right"/>
            </w:pPr>
            <w:r>
              <w:t xml:space="preserve">12,512,685</w:t>
            </w:r>
          </w:p>
        </w:tc>
        <w:tc>
          <w:tcPr>
            <w:tcW w:w="2650" w:type="dxa"/>
            <w:vAlign w:val="center"/>
          </w:tcPr>
          <w:p>
            <w:pPr>
              <w:pStyle w:val="TableText"/>
              <w:jc w:val="right"/>
            </w:pPr>
            <w:r>
              <w:t xml:space="preserve">390,366</w:t>
            </w:r>
          </w:p>
        </w:tc>
        <w:tc>
          <w:tcPr>
            <w:tcW w:w="1950" w:type="dxa"/>
            <w:vAlign w:val="center"/>
          </w:tcPr>
          <w:p>
            <w:pPr>
              <w:pStyle w:val="TableText"/>
              <w:jc w:val="right"/>
            </w:pPr>
            <w:r>
              <w:t xml:space="preserve">3.904</w:t>
            </w:r>
          </w:p>
        </w:tc>
      </w:tr>
      <w:tr>
        <w:trPr>
          <w:cantSplit/>
        </w:trPr>
        <w:tc>
          <w:tcPr>
            <w:tcW w:w="2230" w:type="dxa"/>
            <w:shd w:val="clear" w:fill="F5F7F9" w:color="auto"/>
            <w:vAlign w:val="center"/>
          </w:tcPr>
          <w:p>
            <w:pPr>
              <w:pStyle w:val="TableText"/>
            </w:pPr>
            <w:r>
              <w:t xml:space="preserve">228.jack</w:t>
            </w:r>
          </w:p>
        </w:tc>
        <w:tc>
          <w:tcPr>
            <w:tcW w:w="2750" w:type="dxa"/>
            <w:shd w:val="clear" w:fill="F5F7F9" w:color="auto"/>
            <w:vAlign w:val="center"/>
          </w:tcPr>
          <w:p>
            <w:pPr>
              <w:pStyle w:val="TableText"/>
              <w:jc w:val="right"/>
            </w:pPr>
            <w:r>
              <w:t xml:space="preserve">11,926,271</w:t>
            </w:r>
          </w:p>
        </w:tc>
        <w:tc>
          <w:tcPr>
            <w:tcW w:w="2650" w:type="dxa"/>
            <w:shd w:val="clear" w:fill="F5F7F9" w:color="auto"/>
            <w:vAlign w:val="center"/>
          </w:tcPr>
          <w:p>
            <w:pPr>
              <w:pStyle w:val="TableText"/>
              <w:jc w:val="right"/>
            </w:pPr>
            <w:r>
              <w:t xml:space="preserve">568,496</w:t>
            </w:r>
          </w:p>
        </w:tc>
        <w:tc>
          <w:tcPr>
            <w:tcW w:w="1950" w:type="dxa"/>
            <w:shd w:val="clear" w:fill="F5F7F9" w:color="auto"/>
            <w:vAlign w:val="center"/>
          </w:tcPr>
          <w:p>
            <w:pPr>
              <w:pStyle w:val="TableText"/>
              <w:jc w:val="right"/>
            </w:pPr>
            <w:r>
              <w:t xml:space="preserve">5.685</w:t>
            </w:r>
          </w:p>
        </w:tc>
      </w:tr>
      <w:tr>
        <w:trPr>
          <w:cantSplit/>
        </w:trPr>
        <w:tc>
          <w:tcPr>
            <w:tcW w:w="2230" w:type="dxa"/>
            <w:vAlign w:val="center"/>
          </w:tcPr>
          <w:p>
            <w:pPr>
              <w:pStyle w:val="TableText"/>
            </w:pPr>
            <w:r>
              <w:t xml:space="preserve">252.eon</w:t>
            </w:r>
          </w:p>
        </w:tc>
        <w:tc>
          <w:tcPr>
            <w:tcW w:w="2750" w:type="dxa"/>
            <w:vAlign w:val="center"/>
          </w:tcPr>
          <w:p>
            <w:pPr>
              <w:pStyle w:val="TableText"/>
              <w:jc w:val="right"/>
            </w:pPr>
            <w:r>
              <w:t xml:space="preserve">7,724,960</w:t>
            </w:r>
          </w:p>
        </w:tc>
        <w:tc>
          <w:tcPr>
            <w:tcW w:w="2650" w:type="dxa"/>
            <w:vAlign w:val="center"/>
          </w:tcPr>
          <w:p>
            <w:pPr>
              <w:pStyle w:val="TableText"/>
              <w:jc w:val="right"/>
            </w:pPr>
            <w:r>
              <w:t xml:space="preserve">383,095</w:t>
            </w:r>
          </w:p>
        </w:tc>
        <w:tc>
          <w:tcPr>
            <w:tcW w:w="1950" w:type="dxa"/>
            <w:vAlign w:val="center"/>
          </w:tcPr>
          <w:p>
            <w:pPr>
              <w:pStyle w:val="TableText"/>
              <w:jc w:val="right"/>
            </w:pPr>
            <w:r>
              <w:t xml:space="preserve">3.831</w:t>
            </w:r>
          </w:p>
        </w:tc>
      </w:tr>
      <w:tr>
        <w:trPr>
          <w:cantSplit/>
        </w:trPr>
        <w:tc>
          <w:tcPr>
            <w:tcW w:w="2230" w:type="dxa"/>
            <w:shd w:val="clear" w:fill="F5F7F9" w:color="auto"/>
            <w:vAlign w:val="center"/>
          </w:tcPr>
          <w:p>
            <w:pPr>
              <w:pStyle w:val="TableText"/>
            </w:pPr>
            <w:r>
              <w:t xml:space="preserve">253.perlbmk</w:t>
            </w:r>
          </w:p>
        </w:tc>
        <w:tc>
          <w:tcPr>
            <w:tcW w:w="2750" w:type="dxa"/>
            <w:shd w:val="clear" w:fill="F5F7F9" w:color="auto"/>
            <w:vAlign w:val="center"/>
          </w:tcPr>
          <w:p>
            <w:pPr>
              <w:pStyle w:val="TableText"/>
              <w:jc w:val="right"/>
            </w:pPr>
            <w:r>
              <w:t xml:space="preserve">13,537,118</w:t>
            </w:r>
          </w:p>
        </w:tc>
        <w:tc>
          <w:tcPr>
            <w:tcW w:w="2650" w:type="dxa"/>
            <w:shd w:val="clear" w:fill="F5F7F9" w:color="auto"/>
            <w:vAlign w:val="center"/>
          </w:tcPr>
          <w:p>
            <w:pPr>
              <w:pStyle w:val="TableText"/>
              <w:jc w:val="right"/>
            </w:pPr>
            <w:r>
              <w:t xml:space="preserve">737,917</w:t>
            </w:r>
          </w:p>
        </w:tc>
        <w:tc>
          <w:tcPr>
            <w:tcW w:w="1950" w:type="dxa"/>
            <w:shd w:val="clear" w:fill="F5F7F9" w:color="auto"/>
            <w:vAlign w:val="center"/>
          </w:tcPr>
          <w:p>
            <w:pPr>
              <w:pStyle w:val="TableText"/>
              <w:jc w:val="right"/>
            </w:pPr>
            <w:r>
              <w:t xml:space="preserve">7.379</w:t>
            </w:r>
          </w:p>
        </w:tc>
      </w:tr>
      <w:tr>
        <w:trPr>
          <w:cantSplit/>
        </w:trPr>
        <w:tc>
          <w:tcPr>
            <w:tcW w:w="2230" w:type="dxa"/>
            <w:vAlign w:val="center"/>
          </w:tcPr>
          <w:p>
            <w:pPr>
              <w:pStyle w:val="TableText"/>
            </w:pPr>
            <w:r>
              <w:t xml:space="preserve">254.gap</w:t>
            </w:r>
          </w:p>
        </w:tc>
        <w:tc>
          <w:tcPr>
            <w:tcW w:w="2750" w:type="dxa"/>
            <w:vAlign w:val="center"/>
          </w:tcPr>
          <w:p>
            <w:pPr>
              <w:pStyle w:val="TableText"/>
              <w:jc w:val="right"/>
            </w:pPr>
            <w:r>
              <w:t xml:space="preserve">13,838,041</w:t>
            </w:r>
          </w:p>
        </w:tc>
        <w:tc>
          <w:tcPr>
            <w:tcW w:w="2650" w:type="dxa"/>
            <w:vAlign w:val="center"/>
          </w:tcPr>
          <w:p>
            <w:pPr>
              <w:pStyle w:val="TableText"/>
              <w:jc w:val="right"/>
            </w:pPr>
            <w:r>
              <w:t xml:space="preserve">575,612</w:t>
            </w:r>
          </w:p>
        </w:tc>
        <w:tc>
          <w:tcPr>
            <w:tcW w:w="1950" w:type="dxa"/>
            <w:vAlign w:val="center"/>
          </w:tcPr>
          <w:p>
            <w:pPr>
              <w:pStyle w:val="TableText"/>
              <w:jc w:val="right"/>
            </w:pPr>
            <w:r>
              <w:t xml:space="preserve">5.756</w:t>
            </w:r>
          </w:p>
        </w:tc>
      </w:tr>
      <w:tr>
        <w:trPr>
          <w:cantSplit/>
        </w:trPr>
        <w:tc>
          <w:tcPr>
            <w:tcW w:w="2230" w:type="dxa"/>
            <w:shd w:val="clear" w:fill="F5F7F9" w:color="auto"/>
            <w:vAlign w:val="center"/>
          </w:tcPr>
          <w:p>
            <w:pPr>
              <w:pStyle w:val="TableText"/>
            </w:pPr>
            <w:r>
              <w:t xml:space="preserve">255.vortex</w:t>
            </w:r>
          </w:p>
        </w:tc>
        <w:tc>
          <w:tcPr>
            <w:tcW w:w="2750" w:type="dxa"/>
            <w:shd w:val="clear" w:fill="F5F7F9" w:color="auto"/>
            <w:vAlign w:val="center"/>
          </w:tcPr>
          <w:p>
            <w:pPr>
              <w:pStyle w:val="TableText"/>
              <w:jc w:val="right"/>
            </w:pPr>
            <w:r>
              <w:t xml:space="preserve">11,073,761</w:t>
            </w:r>
          </w:p>
        </w:tc>
        <w:tc>
          <w:tcPr>
            <w:tcW w:w="2650" w:type="dxa"/>
            <w:shd w:val="clear" w:fill="F5F7F9" w:color="auto"/>
            <w:vAlign w:val="center"/>
          </w:tcPr>
          <w:p>
            <w:pPr>
              <w:pStyle w:val="TableText"/>
              <w:jc w:val="right"/>
            </w:pPr>
            <w:r>
              <w:t xml:space="preserve">222,843</w:t>
            </w:r>
          </w:p>
        </w:tc>
        <w:tc>
          <w:tcPr>
            <w:tcW w:w="1950" w:type="dxa"/>
            <w:shd w:val="clear" w:fill="F5F7F9" w:color="auto"/>
            <w:vAlign w:val="center"/>
          </w:tcPr>
          <w:p>
            <w:pPr>
              <w:pStyle w:val="TableText"/>
              <w:jc w:val="right"/>
            </w:pPr>
            <w:r>
              <w:t xml:space="preserve">2.228</w:t>
            </w:r>
          </w:p>
        </w:tc>
      </w:tr>
      <w:tr>
        <w:trPr>
          <w:cantSplit/>
        </w:trPr>
        <w:tc>
          <w:tcPr>
            <w:tcW w:w="2230" w:type="dxa"/>
            <w:vAlign w:val="center"/>
          </w:tcPr>
          <w:p>
            <w:pPr>
              <w:pStyle w:val="TableText"/>
            </w:pPr>
            <w:r>
              <w:t xml:space="preserve">256.bzip2</w:t>
            </w:r>
          </w:p>
        </w:tc>
        <w:tc>
          <w:tcPr>
            <w:tcW w:w="2750" w:type="dxa"/>
            <w:vAlign w:val="center"/>
          </w:tcPr>
          <w:p>
            <w:pPr>
              <w:pStyle w:val="TableText"/>
              <w:jc w:val="right"/>
            </w:pPr>
            <w:r>
              <w:t xml:space="preserve">24,586,276</w:t>
            </w:r>
          </w:p>
        </w:tc>
        <w:tc>
          <w:tcPr>
            <w:tcW w:w="2650" w:type="dxa"/>
            <w:vAlign w:val="center"/>
          </w:tcPr>
          <w:p>
            <w:pPr>
              <w:pStyle w:val="TableText"/>
              <w:jc w:val="right"/>
            </w:pPr>
            <w:r>
              <w:t xml:space="preserve">14,403</w:t>
            </w:r>
          </w:p>
        </w:tc>
        <w:tc>
          <w:tcPr>
            <w:tcW w:w="1950" w:type="dxa"/>
            <w:vAlign w:val="center"/>
          </w:tcPr>
          <w:p>
            <w:pPr>
              <w:pStyle w:val="TableText"/>
              <w:jc w:val="right"/>
            </w:pPr>
            <w:r>
              <w:t xml:space="preserve">0.144</w:t>
            </w:r>
          </w:p>
        </w:tc>
      </w:tr>
      <w:tr>
        <w:trPr>
          <w:cantSplit/>
        </w:trPr>
        <w:tc>
          <w:tcPr>
            <w:tcW w:w="2230" w:type="dxa"/>
            <w:shd w:val="clear" w:fill="F5F7F9" w:color="auto"/>
            <w:vAlign w:val="center"/>
          </w:tcPr>
          <w:p>
            <w:pPr>
              <w:pStyle w:val="TableText"/>
            </w:pPr>
            <w:r>
              <w:t xml:space="preserve">300.twolf</w:t>
            </w:r>
          </w:p>
        </w:tc>
        <w:tc>
          <w:tcPr>
            <w:tcW w:w="2750" w:type="dxa"/>
            <w:shd w:val="clear" w:fill="F5F7F9" w:color="auto"/>
            <w:vAlign w:val="center"/>
          </w:tcPr>
          <w:p>
            <w:pPr>
              <w:pStyle w:val="TableText"/>
              <w:jc w:val="right"/>
            </w:pPr>
            <w:r>
              <w:t xml:space="preserve">13,098,893</w:t>
            </w:r>
          </w:p>
        </w:tc>
        <w:tc>
          <w:tcPr>
            <w:tcW w:w="2650" w:type="dxa"/>
            <w:shd w:val="clear" w:fill="F5F7F9" w:color="auto"/>
            <w:vAlign w:val="center"/>
          </w:tcPr>
          <w:p>
            <w:pPr>
              <w:pStyle w:val="TableText"/>
              <w:jc w:val="right"/>
            </w:pPr>
            <w:r>
              <w:t xml:space="preserve">2,423,827</w:t>
            </w:r>
          </w:p>
        </w:tc>
        <w:tc>
          <w:tcPr>
            <w:tcW w:w="1950" w:type="dxa"/>
            <w:shd w:val="clear" w:fill="F5F7F9" w:color="auto"/>
            <w:vAlign w:val="center"/>
          </w:tcPr>
          <w:p>
            <w:pPr>
              <w:pStyle w:val="TableText"/>
              <w:jc w:val="right"/>
            </w:pPr>
            <w:r>
              <w:t xml:space="preserve">24.238</w:t>
            </w:r>
          </w:p>
        </w:tc>
      </w:tr>
      <w:tr>
        <w:trPr>
          <w:cantSplit/>
        </w:trPr>
        <w:tc>
          <w:tcPr>
            <w:tcW w:w="2230" w:type="dxa"/>
            <w:vAlign w:val="center"/>
          </w:tcPr>
          <w:p>
            <w:pPr>
              <w:pStyle w:val="TableText"/>
            </w:pPr>
            <w:r>
              <w:rPr>
                <w:b/>
              </w:rPr>
              <w:t xml:space="preserve">All traces / mean</w:t>
            </w:r>
          </w:p>
        </w:tc>
        <w:tc>
          <w:tcPr>
            <w:tcW w:w="2750" w:type="dxa"/>
            <w:vAlign w:val="center"/>
          </w:tcPr>
          <w:p>
            <w:pPr>
              <w:pStyle w:val="TableText"/>
              <w:jc w:val="right"/>
            </w:pPr>
            <w:r>
              <w:rPr>
                <w:b/>
              </w:rPr>
              <w:t xml:space="preserve">275,461,634</w:t>
            </w:r>
          </w:p>
        </w:tc>
        <w:tc>
          <w:tcPr>
            <w:tcW w:w="2650" w:type="dxa"/>
            <w:vAlign w:val="center"/>
          </w:tcPr>
          <w:p>
            <w:pPr>
              <w:pStyle w:val="TableText"/>
              <w:jc w:val="right"/>
            </w:pPr>
            <w:r>
              <w:rPr>
                <w:b/>
              </w:rPr>
              <w:t xml:space="preserve">17,330,259</w:t>
            </w:r>
          </w:p>
        </w:tc>
        <w:tc>
          <w:tcPr>
            <w:tcW w:w="1950" w:type="dxa"/>
            <w:vAlign w:val="center"/>
          </w:tcPr>
          <w:p>
            <w:pPr>
              <w:pStyle w:val="TableText"/>
              <w:jc w:val="right"/>
            </w:pPr>
            <w:r>
              <w:rPr>
                <w:b/>
              </w:rPr>
              <w:t xml:space="preserve">8.665</w:t>
            </w:r>
          </w:p>
        </w:tc>
      </w:tr>
    </w:tbl>
    <w:p>
      <w:pPr>
        <w:pStyle w:val="TableSpacer"/>
      </w:pPr>
      <w:r>
        <w:t xml:space="preserve"/>
      </w:r>
    </w:p>
    <w:p>
      <w:pPr>
        <w:pStyle w:val="Normal"/>
      </w:pPr>
      <w:r>
        <w:t xml:space="preserve">The final row sums the conditional branches and direction misses and reports mean MPKI. Because every trace has the same instruction count, the arithmetic mean of the per-trace MPKI values also equals aggregate MPKI over 2,000,000,000 instructions.</w:t>
      </w:r>
    </w:p>
    <w:p>
      <w:pPr>
        <w:pStyle w:val="Normal"/>
      </w:pPr>
      <w:r>
        <w:rPr>
          <w:b/>
        </w:rPr>
        <w:t xml:space="preserve">Mean MPKI = 17,330,259 / 2,000,000 = 8.6651295 ≈ 8.665.</w:t>
      </w:r>
    </w:p>
    <w:p>
      <w:pPr>
        <w:pStyle w:val="Normal"/>
      </w:pPr>
      <w:r>
        <w:t xml:space="preserve">The mean is calculated from exact miss counts before rounding the displayed per-trace values.</w:t>
      </w:r>
    </w:p>
    <w:p>
      <w:pPr>
        <w:pStyle w:val="Heading2"/>
        <w:keepNext/>
        <w:keepLines/>
        <w:pageBreakBefore/>
      </w:pPr>
      <w:r>
        <w:t xml:space="preserve">3.3 Analysis</w:t>
      </w:r>
    </w:p>
    <w:p>
      <w:pPr>
        <w:pStyle w:val="Normal"/>
      </w:pPr>
      <w:r>
        <w:t xml:space="preserve">The hybrid predictor averages 8.665 direction mispredictions per thousand instructions. Performance varies across the benchmarks: 256.bzip2 has the lowest MPKI (0.144), followed by 255.vortex (2.228) and 202.jess (2.561). The highest values occur in 300.twolf (24.238), 181.mcf (20.075), and 176.gcc (19.799).</w:t>
      </w:r>
    </w:p>
    <w:p>
      <w:pPr>
        <w:pStyle w:val="Normal"/>
      </w:pPr>
      <w:r>
        <w:t xml:space="preserve">Across all traces, 17,330,259 of 275,461,634 conditional directions are mispredicted, giving an aggregate conditional prediction accuracy of 93.709%. This accuracy uses conditional branches as its denominator, whereas MPKI uses all executed instructions.</w:t>
      </w:r>
    </w:p>
    <w:p>
      <w:pPr>
        <w:pStyle w:val="Normal"/>
      </w:pPr>
      <w:r>
        <w:t>The variation shows that the same predictor configuration handles the supplied branch streams with different effectiveness. Repeated address/history combinations can benefit from a trained global entry, while global misses rely on the bimodal table. Finite counters, limited history, and table aliasing can contribute to errors; the aggregate counts alone do not identify which factor dominates a particular benchmark.</w:t>
      </w:r>
    </w:p>
    <w:p>
      <w:pPr>
        <w:pStyle w:val="Heading1"/>
        <w:keepNext/>
        <w:keepLines/>
      </w:pPr>
      <w:r>
        <w:t xml:space="preserve">4 What Works and Limitations</w:t>
      </w:r>
    </w:p>
    <w:p>
      <w:pPr>
        <w:pStyle w:val="Heading2"/>
        <w:keepNext/>
        <w:keepLines/>
      </w:pPr>
      <w:r>
        <w:t xml:space="preserve">4.1 Implemented Behavior</w:t>
      </w:r>
    </w:p>
    <w:p>
      <w:pPr>
        <w:pStyle w:val="Normal"/>
      </w:pPr>
      <w:r>
        <w:t xml:space="preserve">The implementation provides bimodal prediction, tagged two-way global lookup, global-hit selection, saturating counter training, invalid-first allocation, LRU replacement, and conditional history updates. All supplied traces complete and produce the direction statistics shown in Section 3.</w:t>
      </w:r>
    </w:p>
    <w:p>
      <w:pPr>
        <w:pStyle w:val="Heading2"/>
        <w:keepNext/>
        <w:keepLines/>
      </w:pPr>
      <w:r>
        <w:t xml:space="preserve">4.2 Model Scope and Limitations</w:t>
      </w:r>
    </w:p>
    <w:p>
      <w:pPr>
        <w:pStyle w:val="Normal"/>
      </w:pPr>
      <w:r>
        <w:t xml:space="preserve">This is the assignment’s simplified Pentium M–inspired direction predictor. Loop prediction, branch target prediction, the path information register, and its specialized hardware hash are omitted as permitted by the assignment. The two-way global organization is also explicitly permitted.</w:t>
      </w:r>
    </w:p>
    <w:p>
      <w:pPr>
        <w:pStyle w:val="Normal"/>
      </w:pPr>
      <w:r>
        <w:t xml:space="preserve">The predictor has finite tables and a 15-bit outcome history. Different branches or histories can share an index or tag, so aliasing and replacement may lose useful state. Every run includes cold-start training. The trace interface resolves each branch before the next prediction; speculative history, pipeline timing, and the power or cycle cost of a misprediction are not modeled.</w:t>
      </w:r>
    </w:p>
    <w:p>
      <w:pPr>
        <w:pStyle w:val="Heading1"/>
        <w:keepNext/>
        <w:keepLines/>
      </w:pPr>
      <w:r>
        <w:t>5 References</w:t>
      </w:r>
    </w:p>
    <w:p>
      <w:pPr>
        <w:pStyle w:val="Normal"/>
      </w:pPr>
      <w:r>
        <w:t xml:space="preserve">[1] Assignment 1: Branch Predictor Implementation, programming-branch-predictor.pdf. Architecture diagram, required scope, and Appendix B worked hybrid-predictor examples.</w:t>
      </w:r>
    </w:p>
    <w:p>
      <w:pPr>
        <w:pStyle w:val="Normal"/>
      </w:pPr>
      <w:r>
        <w:t xml:space="preserve">[2] CBP2 Infrastructure v2, doc/index.html and supplied C++ source. Predictor interface, trace semantics, and MPKI definition.</w:t>
      </w:r>
    </w:p>
    <w:p>
      <w:pPr>
        <w:pStyle w:val="Normal"/>
      </w:pPr>
      <w:r>
        <w:t xml:space="preserve">The predictor tables and replacement logic are implemented directly with C++ arrays. No external cache implementation is used.</w:t>
      </w:r>
    </w:p>
    <w:sectPr>
      <w:headerReference w:type="default" r:id="rIdHeader"/>
      <w:footerReference w:type="default" r:id="rIdFooter"/>
      <w:pgSz w:w="11906" w:h="16838"/>
      <w:pgMar w:top="1420" w:right="1160" w:bottom="1200" w:left="1160" w:header="600" w:footer="600" w:gutter="0"/>
    </w:sectPr>
  </w:body>
</w:document>
</file>

<file path=word/footer1.xml><?xml version="1.0" encoding="utf-8"?>
<w:ftr xmlns:w="http://schemas.openxmlformats.org/wordprocessingml/2006/main">
  <w:p>
    <w:pPr>
      <w:pStyle w:val="HeaderFooter"/>
      <w:tabs>
        <w:tab w:val="right" w:pos="9580"/>
      </w:tabs>
      <w:pBdr>
        <w:top w:val="single" w:sz="4" w:space="8" w:color="AEB9C2"/>
      </w:pBdr>
    </w:pPr>
    <w:r>
      <w:t xml:space="preserve">Computer Architecture | Branch Prediction</w:t>
    </w:r>
    <w:r>
      <w:tab/>
    </w:r>
    <w:r>
      <w:t xml:space="preserve">Page </w:t>
    </w:r>
    <w:fldSimple w:instr=" PAGE ">
      <w:r>
        <w:t xml:space="preserve">1</w:t>
      </w:r>
    </w:fldSimple>
  </w:p>
</w:ftr>
</file>

<file path=word/header1.xml><?xml version="1.0" encoding="utf-8"?>
<w:hdr xmlns:w="http://schemas.openxmlformats.org/wordprocessingml/2006/main">
  <w:p>
    <w:pPr>
      <w:pStyle w:val="HeaderFooter"/>
      <w:tabs>
        <w:tab w:val="right" w:pos="9580"/>
      </w:tabs>
      <w:pBdr>
        <w:bottom w:val="single" w:sz="4" w:space="8" w:color="AEB9C2"/>
      </w:pBdr>
    </w:pPr>
    <w:r>
      <w:t xml:space="preserve">Computer Architecture</w:t>
    </w:r>
    <w:r>
      <w:tab/>
    </w:r>
    <w:r>
      <w:t xml:space="preserve">Assignment 1: Branch Prediction</w:t>
    </w:r>
  </w:p>
</w:hdr>
</file>

<file path=word/settings.xml><?xml version="1.0" encoding="utf-8"?>
<w:settings xmlns:w="http://schemas.openxmlformats.org/wordprocessingml/2006/main">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2"/>
        <w:lang w:val="en-US"/>
      </w:rPr>
    </w:rPrDefault>
    <w:pPrDefault>
      <w:pPr>
        <w:widowControl/>
        <w:spacing w:after="140" w:line="264" w:lineRule="auto"/>
      </w:pPr>
    </w:pPrDefault>
  </w:docDefaults>
  <w:style w:type="paragraph" w:styleId="Normal" w:default="1">
    <w:name w:val="Normal"/>
    <w:next w:val="Normal"/>
    <w:qFormat/>
    <w:pPr/>
    <w:rPr>
      <w:sz w:val="22"/>
    </w:rPr>
  </w:style>
  <w:style w:type="paragraph" w:styleId="Title">
    <w:name w:val="Title"/>
    <w:basedOn w:val="Normal"/>
    <w:next w:val="Normal"/>
    <w:qFormat/>
    <w:pPr>
      <w:keepNext/>
      <w:spacing w:before="0" w:after="180"/>
    </w:pPr>
    <w:rPr>
      <w:b/>
      <w:sz w:val="38"/>
    </w:rPr>
  </w:style>
  <w:style w:type="paragraph" w:styleId="Subtitle">
    <w:name w:val="Subtitle"/>
    <w:basedOn w:val="Normal"/>
    <w:next w:val="Normal"/>
    <w:qFormat/>
    <w:pPr>
      <w:spacing w:after="180"/>
    </w:pPr>
    <w:rPr>
      <w:color w:val="444444"/>
      <w:sz w:val="21"/>
    </w:rPr>
  </w:style>
  <w:style w:type="paragraph" w:styleId="Heading1">
    <w:name w:val="heading 1"/>
    <w:basedOn w:val="Normal"/>
    <w:next w:val="Normal"/>
    <w:qFormat/>
    <w:pPr>
      <w:keepNext/>
      <w:keepLines/>
      <w:spacing w:before="220" w:after="140"/>
      <w:outlineLvl w:val="0"/>
    </w:pPr>
    <w:rPr>
      <w:b/>
      <w:sz w:val="32"/>
    </w:rPr>
  </w:style>
  <w:style w:type="paragraph" w:styleId="Heading2">
    <w:name w:val="heading 2"/>
    <w:basedOn w:val="Normal"/>
    <w:next w:val="Normal"/>
    <w:qFormat/>
    <w:pPr>
      <w:keepNext/>
      <w:keepLines/>
      <w:spacing w:before="220" w:after="140"/>
      <w:outlineLvl w:val="1"/>
    </w:pPr>
    <w:rPr>
      <w:b/>
      <w:sz w:val="26"/>
    </w:rPr>
  </w:style>
  <w:style w:type="paragraph" w:styleId="Heading3">
    <w:name w:val="heading 3"/>
    <w:basedOn w:val="Normal"/>
    <w:next w:val="Normal"/>
    <w:qFormat/>
    <w:pPr>
      <w:keepNext/>
      <w:keepLines/>
      <w:spacing w:before="140" w:after="80"/>
      <w:outlineLvl w:val="2"/>
    </w:pPr>
    <w:rPr>
      <w:b/>
      <w:sz w:val="23"/>
    </w:rPr>
  </w:style>
  <w:style w:type="paragraph" w:styleId="Code">
    <w:name w:val="Code"/>
    <w:basedOn w:val="Normal"/>
    <w:next w:val="Normal"/>
    <w:qFormat/>
    <w:pPr>
      <w:keepLines w:val="0"/>
      <w:shd w:val="clear" w:color="auto" w:fill="F3F5F6"/>
      <w:spacing w:before="40" w:after="100" w:line="204" w:lineRule="exact"/>
      <w:ind w:left="140" w:right="140"/>
    </w:pPr>
    <w:rPr>
      <w:rFonts w:ascii="Courier New" w:hAnsi="Courier New" w:cs="Courier New"/>
      <w:sz w:val="17"/>
    </w:rPr>
  </w:style>
  <w:style w:type="paragraph" w:styleId="TableText">
    <w:name w:val="TableText"/>
    <w:basedOn w:val="Normal"/>
    <w:next w:val="Normal"/>
    <w:qFormat/>
    <w:pPr>
      <w:keepLines/>
      <w:spacing w:before="0" w:after="0" w:line="240" w:lineRule="auto"/>
    </w:pPr>
    <w:rPr>
      <w:sz w:val="19"/>
    </w:rPr>
  </w:style>
  <w:style w:type="paragraph" w:styleId="HeaderFooter">
    <w:name w:val="HeaderFooter"/>
    <w:basedOn w:val="Normal"/>
    <w:next w:val="Normal"/>
    <w:qFormat/>
    <w:pPr>
      <w:spacing w:after="0" w:line="240" w:lineRule="auto"/>
    </w:pPr>
    <w:rPr>
      <w:color w:val="444444"/>
      <w:sz w:val="17"/>
    </w:rPr>
  </w:style>
  <w:style w:type="paragraph" w:styleId="CodeCaption">
    <w:name w:val="Code source caption"/>
    <w:basedOn w:val="Normal"/>
    <w:next w:val="Code"/>
    <w:pPr>
      <w:keepNext/>
      <w:keepLines/>
      <w:spacing w:before="80" w:after="60"/>
    </w:pPr>
    <w:rPr>
      <w:b/>
      <w:sz w:val="18"/>
    </w:rPr>
  </w:style>
  <w:style w:type="paragraph" w:styleId="TableSpacer">
    <w:name w:val="Table spacer"/>
    <w:basedOn w:val="Normal"/>
    <w:pPr>
      <w:spacing w:before="0" w:after="0" w:line="60" w:lineRule="exact"/>
    </w:pPr>
    <w:rPr>
      <w:sz w:val="2"/>
    </w:rPr>
  </w:style>
</w:styles>
</file>

<file path=word/_rels/document.xml.rels><?xml version='1.0' encoding='utf-8'?>
<ns0:Relationships xmlns:ns0="http://schemas.openxmlformats.org/package/2006/relationships"><ns0:Relationship Id="rIdStyles" Type="http://schemas.openxmlformats.org/officeDocument/2006/relationships/styles" Target="styles.xml" /><ns0:Relationship Id="rIdSettings" Type="http://schemas.openxmlformats.org/officeDocument/2006/relationships/settings" Target="settings.xml" /><ns0:Relationship Id="rIdHeader" Type="http://schemas.openxmlformats.org/officeDocument/2006/relationships/header" Target="header1.xml" /><ns0:Relationship Id="rIdFooter" Type="http://schemas.openxmlformats.org/officeDocument/2006/relationships/footer" Target="footer1.xml" /></ns0:Relationships>
</file>

<file path=docProps/app.xml><?xml version="1.0" encoding="utf-8"?>
<ns0:Properties xmlns:ns0="http://schemas.openxmlformats.org/officeDocument/2006/extended-properties">
  <ns0:Application>WordprocessingML</ns0:Application>
</ns0:Properties>
</file>

<file path=docProps/core.xml><?xml version="1.0" encoding="utf-8"?>
<cp:coreProperties xmlns:cp="http://schemas.openxmlformats.org/package/2006/metadata/core-properties" xmlns:dc="http://purl.org/dc/elements/1.1/" xmlns:dcterms="http://purl.org/dc/terms/" xmlns:xsi="http://www.w3.org/2001/XMLSchema-instance">
  <dc:title>Branch Predictor Implementation</dc:title>
  <dc:subject>Assignment 1: Hybrid branch direction prediction</dc:subject>
  <dc:description>Predictor design, initial and modified source excerpts, and results for the supplied branch traces.</dc:description>
  <dcterms:created xsi:type="dcterms:W3CDTF">2026-10-19T00:00:00Z</dcterms:created>
  <dcterms:modified xsi:type="dcterms:W3CDTF">2026-10-19T00:00:00Z</dcterms:modified>
</cp:coreProperties>
</file>