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9E024" w14:textId="244343B1" w:rsidR="008D6F19" w:rsidRPr="00981E9C" w:rsidRDefault="008D6F19" w:rsidP="00777134">
      <w:pPr>
        <w:autoSpaceDE w:val="0"/>
        <w:autoSpaceDN w:val="0"/>
        <w:adjustRightInd w:val="0"/>
        <w:spacing w:after="120"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81E9C">
        <w:rPr>
          <w:b/>
          <w:sz w:val="28"/>
          <w:szCs w:val="28"/>
        </w:rPr>
        <w:t xml:space="preserve">Response to the </w:t>
      </w:r>
      <w:r w:rsidR="00777134">
        <w:rPr>
          <w:b/>
          <w:sz w:val="28"/>
          <w:szCs w:val="28"/>
        </w:rPr>
        <w:t>E</w:t>
      </w:r>
      <w:r w:rsidRPr="00981E9C">
        <w:rPr>
          <w:b/>
          <w:sz w:val="28"/>
          <w:szCs w:val="28"/>
        </w:rPr>
        <w:t>ditor</w:t>
      </w:r>
    </w:p>
    <w:p w14:paraId="2E988FEF" w14:textId="77777777" w:rsidR="008D6F19" w:rsidRDefault="008D6F19" w:rsidP="008D6F19">
      <w:pPr>
        <w:tabs>
          <w:tab w:val="num" w:pos="0"/>
        </w:tabs>
        <w:spacing w:after="240" w:line="360" w:lineRule="auto"/>
        <w:jc w:val="both"/>
      </w:pPr>
      <w:r>
        <w:t>Dear Cristina,</w:t>
      </w:r>
    </w:p>
    <w:p w14:paraId="2DD69469" w14:textId="77777777" w:rsidR="008D6F19" w:rsidRDefault="008D6F19" w:rsidP="008D6F19">
      <w:pPr>
        <w:tabs>
          <w:tab w:val="num" w:pos="0"/>
        </w:tabs>
        <w:spacing w:after="240" w:line="360" w:lineRule="auto"/>
        <w:jc w:val="both"/>
      </w:pPr>
      <w:r w:rsidRPr="00DB643E">
        <w:t xml:space="preserve">We would like to thank </w:t>
      </w:r>
      <w:r>
        <w:t>you and the referees for your</w:t>
      </w:r>
      <w:r w:rsidRPr="00DB643E">
        <w:t xml:space="preserve"> insightful comments</w:t>
      </w:r>
      <w:r>
        <w:t xml:space="preserve"> and for the opportunity to revise our paper</w:t>
      </w:r>
      <w:r w:rsidRPr="00DB643E">
        <w:t xml:space="preserve">. </w:t>
      </w:r>
      <w:r w:rsidRPr="00C04205">
        <w:t>We</w:t>
      </w:r>
      <w:r>
        <w:t xml:space="preserve"> </w:t>
      </w:r>
      <w:r w:rsidRPr="00C04205">
        <w:t>believe</w:t>
      </w:r>
      <w:r>
        <w:t xml:space="preserve"> </w:t>
      </w:r>
      <w:r w:rsidRPr="00C04205">
        <w:t>that</w:t>
      </w:r>
      <w:r>
        <w:t xml:space="preserve"> </w:t>
      </w:r>
      <w:r w:rsidRPr="00C04205">
        <w:t>we</w:t>
      </w:r>
      <w:r>
        <w:t xml:space="preserve"> </w:t>
      </w:r>
      <w:r w:rsidRPr="00C04205">
        <w:t>have</w:t>
      </w:r>
      <w:r>
        <w:t xml:space="preserve"> </w:t>
      </w:r>
      <w:r w:rsidRPr="00C04205">
        <w:t>been</w:t>
      </w:r>
      <w:r>
        <w:t xml:space="preserve"> </w:t>
      </w:r>
      <w:r w:rsidRPr="00C04205">
        <w:t>able</w:t>
      </w:r>
      <w:r>
        <w:t xml:space="preserve"> </w:t>
      </w:r>
      <w:r w:rsidRPr="00C04205">
        <w:t>to</w:t>
      </w:r>
      <w:r>
        <w:t xml:space="preserve"> </w:t>
      </w:r>
      <w:r w:rsidRPr="00C04205">
        <w:t>address</w:t>
      </w:r>
      <w:r>
        <w:t xml:space="preserve"> all of </w:t>
      </w:r>
      <w:r w:rsidRPr="00C04205">
        <w:t>them,</w:t>
      </w:r>
      <w:r>
        <w:t xml:space="preserve"> </w:t>
      </w:r>
      <w:r w:rsidRPr="00C04205">
        <w:t>and</w:t>
      </w:r>
      <w:r>
        <w:t xml:space="preserve"> that </w:t>
      </w:r>
      <w:r w:rsidRPr="00C04205">
        <w:t>they</w:t>
      </w:r>
      <w:r>
        <w:t xml:space="preserve"> </w:t>
      </w:r>
      <w:r w:rsidRPr="00C04205">
        <w:t>have</w:t>
      </w:r>
      <w:r>
        <w:t xml:space="preserve"> </w:t>
      </w:r>
      <w:r w:rsidRPr="00C04205">
        <w:t>improved</w:t>
      </w:r>
      <w:r>
        <w:t xml:space="preserve"> </w:t>
      </w:r>
      <w:r w:rsidRPr="00C04205">
        <w:t>the</w:t>
      </w:r>
      <w:r>
        <w:t xml:space="preserve"> </w:t>
      </w:r>
      <w:r w:rsidRPr="00C04205">
        <w:t>quality</w:t>
      </w:r>
      <w:r>
        <w:t xml:space="preserve"> </w:t>
      </w:r>
      <w:r w:rsidRPr="00C04205">
        <w:t>of</w:t>
      </w:r>
      <w:r>
        <w:t xml:space="preserve"> the </w:t>
      </w:r>
      <w:r w:rsidRPr="00C04205">
        <w:t xml:space="preserve">paper. </w:t>
      </w:r>
      <w:r>
        <w:t>Let us first present a summary of the main changes introduced in the paper as a response to your comments and those of the referees:</w:t>
      </w:r>
    </w:p>
    <w:p w14:paraId="069AC3DB" w14:textId="2175F535" w:rsidR="008D6F19" w:rsidRPr="00A93A15" w:rsidRDefault="008D6F19" w:rsidP="008D6F19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</w:t>
      </w:r>
      <w:r w:rsidRPr="002D7B06">
        <w:t>add</w:t>
      </w:r>
      <w:r>
        <w:t>ed</w:t>
      </w:r>
      <w:r w:rsidRPr="002D7B06">
        <w:t xml:space="preserve"> decompositions of government bond spreads between default probability and ambiguity aversion in the baseline economy, both for the </w:t>
      </w:r>
      <w:r>
        <w:t>non</w:t>
      </w:r>
      <w:r w:rsidRPr="002D7B06">
        <w:t>contingent bond and for the state contingent bond.</w:t>
      </w:r>
    </w:p>
    <w:p w14:paraId="2DA2866B" w14:textId="4B60E80A" w:rsidR="008D6F19" w:rsidRDefault="008D6F19" w:rsidP="008D6F19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now show that </w:t>
      </w:r>
      <w:r w:rsidRPr="002D7B06">
        <w:t xml:space="preserve">the mechanisms that </w:t>
      </w:r>
      <w:r>
        <w:t>the paper</w:t>
      </w:r>
      <w:r w:rsidRPr="002D7B06">
        <w:t xml:space="preserve"> highlights are robust to adding debt recovery</w:t>
      </w:r>
      <w:r>
        <w:t xml:space="preserve"> and targeting higher default probabilities</w:t>
      </w:r>
      <w:r w:rsidRPr="00A63B8B">
        <w:t xml:space="preserve">. </w:t>
      </w:r>
    </w:p>
    <w:p w14:paraId="4F0B7C7B" w14:textId="77777777" w:rsidR="008D6F19" w:rsidRDefault="008D6F19" w:rsidP="008D6F19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>We shortened the paper to 45 pages by streamlining the section of the stylized model.</w:t>
      </w:r>
    </w:p>
    <w:p w14:paraId="06B34AB6" w14:textId="7B3A3FAC" w:rsidR="008D6F19" w:rsidRDefault="008D6F19" w:rsidP="008D6F19">
      <w:pPr>
        <w:tabs>
          <w:tab w:val="num" w:pos="0"/>
        </w:tabs>
        <w:spacing w:after="240" w:line="360" w:lineRule="auto"/>
        <w:jc w:val="both"/>
      </w:pPr>
      <w:bookmarkStart w:id="1" w:name="_Hlk44931019"/>
      <w:r>
        <w:t>The main result in the paper is robust to these and other modifications introduced in the revised version: the typical threshold bond structure used in practice generates substantial welfare losses when lenders are robust</w:t>
      </w:r>
      <w:r>
        <w:t>, and, when designed optimally, the gains from state-contingent are reinstated.</w:t>
      </w:r>
    </w:p>
    <w:bookmarkEnd w:id="1"/>
    <w:p w14:paraId="2745DB4C" w14:textId="77777777" w:rsidR="008D6F19" w:rsidRDefault="008D6F19" w:rsidP="008D6F19">
      <w:pPr>
        <w:tabs>
          <w:tab w:val="num" w:pos="0"/>
        </w:tabs>
        <w:spacing w:after="240" w:line="360" w:lineRule="auto"/>
        <w:jc w:val="both"/>
      </w:pPr>
      <w:r w:rsidRPr="00DB643E">
        <w:t xml:space="preserve">Below, we provide a detailed explanation of how we </w:t>
      </w:r>
      <w:r>
        <w:t xml:space="preserve">have </w:t>
      </w:r>
      <w:r w:rsidRPr="00DB643E">
        <w:t xml:space="preserve">addressed </w:t>
      </w:r>
      <w:r>
        <w:t>your recommendations. We are also sending you a detailed response for the comments of each referee.</w:t>
      </w:r>
    </w:p>
    <w:p w14:paraId="27EA09E2" w14:textId="5889F958" w:rsidR="008D6F19" w:rsidRPr="00804083" w:rsidRDefault="008D6F19" w:rsidP="0060112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 w:rsidRPr="00804083">
        <w:rPr>
          <w:b/>
        </w:rPr>
        <w:t>The novelty premium and spread decompositions.</w:t>
      </w:r>
    </w:p>
    <w:p w14:paraId="402F816E" w14:textId="376BFE37" w:rsidR="008D6F19" w:rsidRPr="008D6F19" w:rsidRDefault="008D6F19" w:rsidP="008D6F19">
      <w:pPr>
        <w:ind w:left="216"/>
        <w:rPr>
          <w:bCs/>
        </w:rPr>
      </w:pPr>
      <w:r w:rsidRPr="008D6F19">
        <w:rPr>
          <w:bCs/>
        </w:rPr>
        <w:t>We added these decompositions, which are in pages XXX.</w:t>
      </w:r>
    </w:p>
    <w:p w14:paraId="06CF6A94" w14:textId="77777777" w:rsidR="008D6F19" w:rsidRPr="008D6F19" w:rsidRDefault="008D6F19" w:rsidP="008D6F19">
      <w:pPr>
        <w:pStyle w:val="ListParagraph"/>
        <w:numPr>
          <w:ilvl w:val="0"/>
          <w:numId w:val="0"/>
        </w:numPr>
        <w:snapToGrid/>
        <w:ind w:left="270"/>
      </w:pPr>
    </w:p>
    <w:p w14:paraId="56B2C6E6" w14:textId="6BEF2FF7" w:rsidR="008D6F19" w:rsidRPr="00804083" w:rsidRDefault="008D6F19" w:rsidP="0060112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 w:rsidRPr="00804083">
        <w:rPr>
          <w:b/>
        </w:rPr>
        <w:t>Stylized model</w:t>
      </w:r>
      <w:r w:rsidR="002F7CA9">
        <w:rPr>
          <w:b/>
        </w:rPr>
        <w:t xml:space="preserve"> and length of the paper</w:t>
      </w:r>
      <w:r w:rsidRPr="00804083">
        <w:rPr>
          <w:b/>
        </w:rPr>
        <w:t>.</w:t>
      </w:r>
    </w:p>
    <w:p w14:paraId="6CB58854" w14:textId="0354EE16" w:rsidR="008D6F19" w:rsidRDefault="008D6F19" w:rsidP="002F7CA9">
      <w:pPr>
        <w:spacing w:line="360" w:lineRule="auto"/>
        <w:ind w:left="216"/>
        <w:jc w:val="both"/>
      </w:pPr>
      <w:r>
        <w:t>As you recommended, we shortened this section to contain only the essential points and figures.</w:t>
      </w:r>
      <w:r w:rsidR="002F7CA9">
        <w:t xml:space="preserve"> We shortened the paper to 45 pages as you suggested.</w:t>
      </w:r>
    </w:p>
    <w:p w14:paraId="530B1F1D" w14:textId="77777777" w:rsidR="008D6F19" w:rsidRPr="008D6F19" w:rsidRDefault="008D6F19" w:rsidP="008D6F19"/>
    <w:p w14:paraId="2F416CD3" w14:textId="5467CD0B" w:rsidR="008D6F19" w:rsidRPr="00804083" w:rsidRDefault="00A26712" w:rsidP="0060112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 w:rsidRPr="00804083">
        <w:rPr>
          <w:b/>
        </w:rPr>
        <w:t>Robustness on debt recovery and default probability target.</w:t>
      </w:r>
    </w:p>
    <w:p w14:paraId="125CC147" w14:textId="5727F55B" w:rsidR="008D6F19" w:rsidRPr="00DF5187" w:rsidRDefault="00DF5187" w:rsidP="00064F84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rFonts w:eastAsia="Times New Roman" w:cs="Times New Roman"/>
          <w:color w:val="auto"/>
          <w:szCs w:val="24"/>
        </w:rPr>
      </w:pPr>
      <w:r w:rsidRPr="00DF5187">
        <w:rPr>
          <w:rFonts w:eastAsia="Times New Roman" w:cs="Times New Roman"/>
          <w:color w:val="auto"/>
          <w:szCs w:val="24"/>
        </w:rPr>
        <w:t>The new subsection XXX now presents a version of the model that allows for debt recovery (we set the recovery rate at</w:t>
      </w:r>
      <w:r w:rsidRPr="00DF5187">
        <w:rPr>
          <w:rFonts w:eastAsia="Times New Roman" w:cs="Times New Roman"/>
          <w:color w:val="auto"/>
          <w:szCs w:val="24"/>
        </w:rPr>
        <w:t xml:space="preserve"> 60% </w:t>
      </w:r>
      <w:r w:rsidRPr="00DF5187">
        <w:rPr>
          <w:rFonts w:eastAsia="Times New Roman" w:cs="Times New Roman"/>
          <w:color w:val="auto"/>
          <w:szCs w:val="24"/>
        </w:rPr>
        <w:t xml:space="preserve">as documented by </w:t>
      </w:r>
      <w:r w:rsidRPr="00DF5187">
        <w:rPr>
          <w:rFonts w:eastAsia="Times New Roman" w:cs="Times New Roman"/>
          <w:color w:val="auto"/>
          <w:szCs w:val="24"/>
        </w:rPr>
        <w:t>Cruces</w:t>
      </w:r>
      <w:r w:rsidRPr="00DF5187">
        <w:rPr>
          <w:rFonts w:eastAsia="Times New Roman" w:cs="Times New Roman"/>
          <w:color w:val="auto"/>
          <w:szCs w:val="24"/>
        </w:rPr>
        <w:t xml:space="preserve"> and </w:t>
      </w:r>
      <w:r w:rsidRPr="00DF5187">
        <w:rPr>
          <w:rFonts w:eastAsia="Times New Roman" w:cs="Times New Roman"/>
          <w:color w:val="auto"/>
          <w:szCs w:val="24"/>
        </w:rPr>
        <w:t>Trebesch</w:t>
      </w:r>
      <w:r w:rsidRPr="00DF5187">
        <w:rPr>
          <w:rFonts w:eastAsia="Times New Roman" w:cs="Times New Roman"/>
          <w:color w:val="auto"/>
          <w:szCs w:val="24"/>
        </w:rPr>
        <w:t>,</w:t>
      </w:r>
      <w:r w:rsidRPr="00DF5187">
        <w:rPr>
          <w:rFonts w:eastAsia="Times New Roman" w:cs="Times New Roman"/>
          <w:color w:val="auto"/>
          <w:szCs w:val="24"/>
        </w:rPr>
        <w:t xml:space="preserve"> 2013)</w:t>
      </w:r>
      <w:r w:rsidRPr="00DF5187">
        <w:rPr>
          <w:rFonts w:eastAsia="Times New Roman" w:cs="Times New Roman"/>
          <w:color w:val="auto"/>
          <w:szCs w:val="24"/>
        </w:rPr>
        <w:t xml:space="preserve">, and calibrate </w:t>
      </w:r>
      <w:r w:rsidRPr="00DF5187">
        <w:rPr>
          <w:rFonts w:eastAsia="Times New Roman" w:cs="Times New Roman"/>
          <w:color w:val="auto"/>
          <w:szCs w:val="24"/>
        </w:rPr>
        <w:lastRenderedPageBreak/>
        <w:t>this version of the model to target a default probability of 5.4% (relative to the 3% in our baseline). These modifications do not alter the main message of the paper.</w:t>
      </w:r>
    </w:p>
    <w:p w14:paraId="50E5A90B" w14:textId="77777777" w:rsidR="008D6F19" w:rsidRPr="008D6F19" w:rsidRDefault="008D6F19" w:rsidP="008D6F19">
      <w:pPr>
        <w:pStyle w:val="ListParagraph"/>
        <w:numPr>
          <w:ilvl w:val="0"/>
          <w:numId w:val="0"/>
        </w:numPr>
        <w:snapToGrid/>
        <w:ind w:left="270"/>
      </w:pPr>
    </w:p>
    <w:p w14:paraId="0AAF466F" w14:textId="0F1B4A52" w:rsidR="008D6F19" w:rsidRPr="006F1F19" w:rsidRDefault="006F1F19" w:rsidP="00804083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  <w:bCs/>
        </w:rPr>
      </w:pPr>
      <w:r w:rsidRPr="006F1F19">
        <w:rPr>
          <w:b/>
          <w:bCs/>
        </w:rPr>
        <w:t>Parameters of the state-contingent bond</w:t>
      </w:r>
    </w:p>
    <w:p w14:paraId="24FED5E7" w14:textId="0D01276E" w:rsidR="006F1F19" w:rsidRDefault="006F1F19" w:rsidP="00804083">
      <w:pPr>
        <w:pStyle w:val="ListParagraph"/>
        <w:numPr>
          <w:ilvl w:val="0"/>
          <w:numId w:val="0"/>
        </w:numPr>
        <w:snapToGrid/>
        <w:spacing w:line="360" w:lineRule="auto"/>
        <w:ind w:left="274"/>
      </w:pPr>
      <w:r>
        <w:t>The parameterization that better approximates the threshold bond that countries have used in practice corresponds to \tau = mean(y) and \alpha = 1. We now establish this more explicitly on page XXX.</w:t>
      </w:r>
    </w:p>
    <w:p w14:paraId="1C2158EF" w14:textId="77777777" w:rsidR="006F1F19" w:rsidRDefault="006F1F19" w:rsidP="006F1F19">
      <w:pPr>
        <w:pStyle w:val="ListParagraph"/>
        <w:numPr>
          <w:ilvl w:val="0"/>
          <w:numId w:val="0"/>
        </w:numPr>
        <w:snapToGrid/>
        <w:ind w:left="270"/>
      </w:pPr>
    </w:p>
    <w:p w14:paraId="1930652F" w14:textId="71595DB7" w:rsidR="008D6F19" w:rsidRDefault="008D6F19" w:rsidP="008D6F19">
      <w:pPr>
        <w:tabs>
          <w:tab w:val="num" w:pos="0"/>
        </w:tabs>
        <w:spacing w:after="240" w:line="360" w:lineRule="auto"/>
        <w:jc w:val="both"/>
      </w:pPr>
      <w:bookmarkStart w:id="2" w:name="_Hlk43309570"/>
      <w:r w:rsidRPr="00E56AEA">
        <w:t>In sum, we believe we have been able to incorporate your recommendations (and the ones of the referees), and this has greatly improved the paper!</w:t>
      </w:r>
      <w:r w:rsidR="002F7CA9">
        <w:t xml:space="preserve"> Thanks!</w:t>
      </w:r>
    </w:p>
    <w:p w14:paraId="38AC15E0" w14:textId="5095F130" w:rsidR="00B71357" w:rsidRDefault="00B71357" w:rsidP="008D6F19">
      <w:pPr>
        <w:tabs>
          <w:tab w:val="num" w:pos="0"/>
        </w:tabs>
        <w:spacing w:after="240" w:line="360" w:lineRule="auto"/>
        <w:jc w:val="both"/>
      </w:pPr>
      <w:r>
        <w:t>Best regards,</w:t>
      </w:r>
    </w:p>
    <w:p w14:paraId="23528F83" w14:textId="36E6B7F2" w:rsidR="00B71357" w:rsidRPr="00E56AEA" w:rsidRDefault="00B71357" w:rsidP="008D6F19">
      <w:pPr>
        <w:tabs>
          <w:tab w:val="num" w:pos="0"/>
        </w:tabs>
        <w:spacing w:after="240" w:line="360" w:lineRule="auto"/>
        <w:jc w:val="both"/>
      </w:pPr>
      <w:r>
        <w:t>Francisco Roch</w:t>
      </w:r>
    </w:p>
    <w:bookmarkEnd w:id="2"/>
    <w:p w14:paraId="70A687D3" w14:textId="77777777" w:rsidR="008D6F19" w:rsidRDefault="008D6F19" w:rsidP="008D6F19">
      <w:pPr>
        <w:rPr>
          <w:b/>
        </w:rPr>
      </w:pPr>
    </w:p>
    <w:p w14:paraId="3FB59BFE" w14:textId="77777777" w:rsidR="008D6F19" w:rsidRPr="0071254E" w:rsidRDefault="008D6F19" w:rsidP="008D6F19"/>
    <w:p w14:paraId="352E404E" w14:textId="77777777" w:rsidR="008D6F19" w:rsidRDefault="008D6F19" w:rsidP="008D6F19"/>
    <w:p w14:paraId="4A65D2CB" w14:textId="77777777" w:rsidR="008D6F19" w:rsidRPr="0071254E" w:rsidRDefault="008D6F19" w:rsidP="008D6F19"/>
    <w:p w14:paraId="5DAC6729" w14:textId="77777777" w:rsidR="00A85FFB" w:rsidRPr="00E81D0C" w:rsidRDefault="00A85FFB" w:rsidP="008D6F19">
      <w:pPr>
        <w:pStyle w:val="ParagraphNumbering"/>
        <w:numPr>
          <w:ilvl w:val="0"/>
          <w:numId w:val="0"/>
        </w:numPr>
      </w:pPr>
    </w:p>
    <w:sectPr w:rsidR="00A85FFB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258C" w14:textId="77777777" w:rsidR="008D6F19" w:rsidRDefault="008D6F19" w:rsidP="000B7010">
      <w:r>
        <w:separator/>
      </w:r>
    </w:p>
  </w:endnote>
  <w:endnote w:type="continuationSeparator" w:id="0">
    <w:p w14:paraId="61C2FF44" w14:textId="77777777" w:rsidR="008D6F19" w:rsidRDefault="008D6F19" w:rsidP="000B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98A4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732D" w14:textId="77777777" w:rsidR="008D6F19" w:rsidRDefault="008D6F19" w:rsidP="000B7010">
      <w:r>
        <w:separator/>
      </w:r>
    </w:p>
  </w:footnote>
  <w:footnote w:type="continuationSeparator" w:id="0">
    <w:p w14:paraId="08917BB6" w14:textId="77777777" w:rsidR="008D6F19" w:rsidRDefault="008D6F19" w:rsidP="000B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4117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125C9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234042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6371DB8"/>
    <w:multiLevelType w:val="hybridMultilevel"/>
    <w:tmpl w:val="A060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8"/>
  </w:num>
  <w:num w:numId="18">
    <w:abstractNumId w:val="1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19"/>
    <w:rsid w:val="00064F84"/>
    <w:rsid w:val="00070765"/>
    <w:rsid w:val="000A1AEE"/>
    <w:rsid w:val="000B7010"/>
    <w:rsid w:val="000F5251"/>
    <w:rsid w:val="00170414"/>
    <w:rsid w:val="001D081E"/>
    <w:rsid w:val="00232FB2"/>
    <w:rsid w:val="002F7CA9"/>
    <w:rsid w:val="00325E95"/>
    <w:rsid w:val="003712A7"/>
    <w:rsid w:val="00382DA8"/>
    <w:rsid w:val="00393E59"/>
    <w:rsid w:val="003C5BF0"/>
    <w:rsid w:val="003D2443"/>
    <w:rsid w:val="003D2B61"/>
    <w:rsid w:val="00451C7E"/>
    <w:rsid w:val="004F3DA7"/>
    <w:rsid w:val="005122F5"/>
    <w:rsid w:val="00527B01"/>
    <w:rsid w:val="00531040"/>
    <w:rsid w:val="005B6103"/>
    <w:rsid w:val="005C0460"/>
    <w:rsid w:val="005F722E"/>
    <w:rsid w:val="0060112C"/>
    <w:rsid w:val="0060374F"/>
    <w:rsid w:val="0061550F"/>
    <w:rsid w:val="006C41BB"/>
    <w:rsid w:val="006F1F19"/>
    <w:rsid w:val="006F658C"/>
    <w:rsid w:val="00777134"/>
    <w:rsid w:val="007F425F"/>
    <w:rsid w:val="007F47DE"/>
    <w:rsid w:val="00804083"/>
    <w:rsid w:val="00807E50"/>
    <w:rsid w:val="00834E6F"/>
    <w:rsid w:val="008A3DEB"/>
    <w:rsid w:val="008D6F19"/>
    <w:rsid w:val="00A26712"/>
    <w:rsid w:val="00A70E79"/>
    <w:rsid w:val="00A85FFB"/>
    <w:rsid w:val="00B71357"/>
    <w:rsid w:val="00BB45B2"/>
    <w:rsid w:val="00CE4A79"/>
    <w:rsid w:val="00D87E53"/>
    <w:rsid w:val="00DF5187"/>
    <w:rsid w:val="00E52EEF"/>
    <w:rsid w:val="00E81D0C"/>
    <w:rsid w:val="00E97ECC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FDBF"/>
  <w15:chartTrackingRefBased/>
  <w15:docId w15:val="{69B4E351-80DD-4FC5-A46E-822DB37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</dc:creator>
  <cp:keywords/>
  <dc:description/>
  <cp:lastModifiedBy>RES</cp:lastModifiedBy>
  <cp:revision>9</cp:revision>
  <dcterms:created xsi:type="dcterms:W3CDTF">2022-11-02T13:30:00Z</dcterms:created>
  <dcterms:modified xsi:type="dcterms:W3CDTF">2022-11-02T13:50:00Z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2022-11-02T13:30:13Z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737161c0-8962-483f-8cd8-43c8ece4ffd0</vt:lpwstr>
  </property>
  <property fmtid="{D5CDD505-2E9C-101B-9397-08002B2CF9AE}" pid="8" name="MSIP_Label_0c07ed86-5dc5-4593-ad03-a8684b843815_ContentBits">
    <vt:lpwstr>0</vt:lpwstr>
  </property>
</Properties>
</file>