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53EF" w14:textId="04ED02F4" w:rsidR="0087624C" w:rsidRPr="00981E9C" w:rsidRDefault="0087624C" w:rsidP="0087624C">
      <w:pPr>
        <w:autoSpaceDE w:val="0"/>
        <w:autoSpaceDN w:val="0"/>
        <w:adjustRightInd w:val="0"/>
        <w:spacing w:after="12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981E9C">
        <w:rPr>
          <w:b/>
          <w:sz w:val="28"/>
          <w:szCs w:val="28"/>
        </w:rPr>
        <w:t xml:space="preserve">Response to </w:t>
      </w:r>
      <w:r>
        <w:rPr>
          <w:b/>
          <w:sz w:val="28"/>
          <w:szCs w:val="28"/>
        </w:rPr>
        <w:t>Referee 1</w:t>
      </w:r>
    </w:p>
    <w:p w14:paraId="238244D9" w14:textId="6F905613" w:rsidR="0087624C" w:rsidRDefault="0087624C" w:rsidP="0087624C">
      <w:pPr>
        <w:tabs>
          <w:tab w:val="num" w:pos="0"/>
        </w:tabs>
        <w:spacing w:after="240" w:line="360" w:lineRule="auto"/>
        <w:jc w:val="both"/>
      </w:pPr>
      <w:r w:rsidRPr="00DB643E">
        <w:t xml:space="preserve">We would like to thank </w:t>
      </w:r>
      <w:r>
        <w:t>you for your</w:t>
      </w:r>
      <w:r w:rsidRPr="00DB643E">
        <w:t xml:space="preserve"> insightful comments. </w:t>
      </w:r>
      <w:r w:rsidRPr="00C04205">
        <w:t>We</w:t>
      </w:r>
      <w:r>
        <w:t xml:space="preserve"> </w:t>
      </w:r>
      <w:r w:rsidRPr="00C04205">
        <w:t>believe</w:t>
      </w:r>
      <w:r>
        <w:t xml:space="preserve"> </w:t>
      </w:r>
      <w:r w:rsidRPr="00C04205">
        <w:t>that</w:t>
      </w:r>
      <w:r>
        <w:t xml:space="preserve"> </w:t>
      </w:r>
      <w:r w:rsidRPr="00C04205">
        <w:t>we</w:t>
      </w:r>
      <w:r>
        <w:t xml:space="preserve"> </w:t>
      </w:r>
      <w:r w:rsidRPr="00C04205">
        <w:t>have</w:t>
      </w:r>
      <w:r>
        <w:t xml:space="preserve"> </w:t>
      </w:r>
      <w:r w:rsidRPr="00C04205">
        <w:t>been</w:t>
      </w:r>
      <w:r>
        <w:t xml:space="preserve"> </w:t>
      </w:r>
      <w:r w:rsidRPr="00C04205">
        <w:t>able</w:t>
      </w:r>
      <w:r>
        <w:t xml:space="preserve"> </w:t>
      </w:r>
      <w:r w:rsidRPr="00C04205">
        <w:t>to</w:t>
      </w:r>
      <w:r>
        <w:t xml:space="preserve"> </w:t>
      </w:r>
      <w:r w:rsidRPr="00C04205">
        <w:t>address</w:t>
      </w:r>
      <w:r>
        <w:t xml:space="preserve"> all of </w:t>
      </w:r>
      <w:r w:rsidRPr="00C04205">
        <w:t>them,</w:t>
      </w:r>
      <w:r>
        <w:t xml:space="preserve"> </w:t>
      </w:r>
      <w:r w:rsidRPr="00C04205">
        <w:t>and</w:t>
      </w:r>
      <w:r>
        <w:t xml:space="preserve"> that </w:t>
      </w:r>
      <w:r w:rsidRPr="00C04205">
        <w:t>they</w:t>
      </w:r>
      <w:r>
        <w:t xml:space="preserve"> </w:t>
      </w:r>
      <w:r w:rsidRPr="00C04205">
        <w:t>have</w:t>
      </w:r>
      <w:r>
        <w:t xml:space="preserve"> </w:t>
      </w:r>
      <w:r w:rsidRPr="00C04205">
        <w:t>improved</w:t>
      </w:r>
      <w:r>
        <w:t xml:space="preserve"> </w:t>
      </w:r>
      <w:r w:rsidRPr="00C04205">
        <w:t>the</w:t>
      </w:r>
      <w:r>
        <w:t xml:space="preserve"> </w:t>
      </w:r>
      <w:r w:rsidRPr="00C04205">
        <w:t>quality</w:t>
      </w:r>
      <w:r>
        <w:t xml:space="preserve"> </w:t>
      </w:r>
      <w:r w:rsidRPr="00C04205">
        <w:t>of</w:t>
      </w:r>
      <w:r>
        <w:t xml:space="preserve"> the </w:t>
      </w:r>
      <w:r w:rsidRPr="00C04205">
        <w:t xml:space="preserve">paper. </w:t>
      </w:r>
      <w:r>
        <w:t xml:space="preserve">Let us first present a summary of the main changes introduced in the paper as a response to your comments and those of the </w:t>
      </w:r>
      <w:r>
        <w:t xml:space="preserve">editor and the other </w:t>
      </w:r>
      <w:r>
        <w:t>referee:</w:t>
      </w:r>
    </w:p>
    <w:p w14:paraId="5797F7FF" w14:textId="77777777" w:rsidR="0087624C" w:rsidRPr="00A93A15" w:rsidRDefault="0087624C" w:rsidP="0087624C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 xml:space="preserve">We </w:t>
      </w:r>
      <w:r w:rsidRPr="002D7B06">
        <w:t>add</w:t>
      </w:r>
      <w:r>
        <w:t>ed</w:t>
      </w:r>
      <w:r w:rsidRPr="002D7B06">
        <w:t xml:space="preserve"> decompositions of government bond spreads between default probability and ambiguity aversion in the baseline economy, both for the </w:t>
      </w:r>
      <w:r>
        <w:t>non</w:t>
      </w:r>
      <w:r w:rsidRPr="002D7B06">
        <w:t>contingent bond and for the state contingent bond.</w:t>
      </w:r>
    </w:p>
    <w:p w14:paraId="7C11D031" w14:textId="77777777" w:rsidR="0087624C" w:rsidRDefault="0087624C" w:rsidP="0087624C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 xml:space="preserve">We now show that </w:t>
      </w:r>
      <w:r w:rsidRPr="002D7B06">
        <w:t xml:space="preserve">the mechanisms that </w:t>
      </w:r>
      <w:r>
        <w:t>the paper</w:t>
      </w:r>
      <w:r w:rsidRPr="002D7B06">
        <w:t xml:space="preserve"> highlights are robust to adding debt recovery</w:t>
      </w:r>
      <w:r>
        <w:t xml:space="preserve"> and targeting higher default probabilities</w:t>
      </w:r>
      <w:r w:rsidRPr="00A63B8B">
        <w:t xml:space="preserve">. </w:t>
      </w:r>
    </w:p>
    <w:p w14:paraId="526CF0D8" w14:textId="77777777" w:rsidR="0087624C" w:rsidRDefault="0087624C" w:rsidP="0087624C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>We shortened the paper to 45 pages by streamlining the section of the stylized model.</w:t>
      </w:r>
    </w:p>
    <w:p w14:paraId="386070DA" w14:textId="77777777" w:rsidR="0087624C" w:rsidRDefault="0087624C" w:rsidP="0087624C">
      <w:pPr>
        <w:tabs>
          <w:tab w:val="num" w:pos="0"/>
        </w:tabs>
        <w:spacing w:after="240" w:line="360" w:lineRule="auto"/>
        <w:jc w:val="both"/>
      </w:pPr>
      <w:bookmarkStart w:id="1" w:name="_Hlk44931019"/>
      <w:r>
        <w:t>The main result in the paper is robust to these and other modifications introduced in the revised version: the typical threshold bond structure used in practice generates substantial welfare losses when lenders are robust, and, when designed optimally, the gains from state-contingent are reinstated.</w:t>
      </w:r>
    </w:p>
    <w:bookmarkEnd w:id="1"/>
    <w:p w14:paraId="66D621A0" w14:textId="1BC61963" w:rsidR="0087624C" w:rsidRDefault="0087624C" w:rsidP="0087624C">
      <w:pPr>
        <w:tabs>
          <w:tab w:val="num" w:pos="0"/>
        </w:tabs>
        <w:spacing w:after="240" w:line="360" w:lineRule="auto"/>
        <w:jc w:val="both"/>
      </w:pPr>
      <w:r w:rsidRPr="00DB643E">
        <w:t xml:space="preserve">Below, we provide a detailed explanation of how we </w:t>
      </w:r>
      <w:r>
        <w:t xml:space="preserve">have </w:t>
      </w:r>
      <w:r w:rsidRPr="00DB643E">
        <w:t xml:space="preserve">addressed </w:t>
      </w:r>
      <w:r>
        <w:t>your recommendations.</w:t>
      </w:r>
    </w:p>
    <w:p w14:paraId="40B6F6DE" w14:textId="5F83F704" w:rsidR="0087624C" w:rsidRDefault="00802A7E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Comments on the introduction</w:t>
      </w:r>
      <w:r w:rsidR="0087624C" w:rsidRPr="00804083">
        <w:rPr>
          <w:b/>
        </w:rPr>
        <w:t>.</w:t>
      </w:r>
    </w:p>
    <w:p w14:paraId="64A834E2" w14:textId="12DBC24C" w:rsidR="00802A7E" w:rsidRDefault="00C302AD" w:rsidP="00C302AD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bCs/>
        </w:rPr>
      </w:pPr>
      <w:r>
        <w:rPr>
          <w:bCs/>
        </w:rPr>
        <w:t>As suggested, w</w:t>
      </w:r>
      <w:r w:rsidR="00802A7E">
        <w:rPr>
          <w:bCs/>
        </w:rPr>
        <w:t>e now</w:t>
      </w:r>
      <w:r>
        <w:rPr>
          <w:bCs/>
        </w:rPr>
        <w:t xml:space="preserve"> give more prominence to the discussion on the possibility of data misreporting/falsification. We borrow from Morelli and Moretti (2022) the narrative from Argentina’s episode of reporting lower than actual inflation which implied raising reported GDP growth increasing the payout on their GDP warrants. </w:t>
      </w:r>
      <w:r w:rsidR="0045038D">
        <w:rPr>
          <w:bCs/>
        </w:rPr>
        <w:t>I</w:t>
      </w:r>
      <w:r>
        <w:rPr>
          <w:bCs/>
        </w:rPr>
        <w:t xml:space="preserve">n the case of Greece, we believe that the </w:t>
      </w:r>
      <w:r w:rsidR="0045038D">
        <w:rPr>
          <w:bCs/>
        </w:rPr>
        <w:t>scrutiny</w:t>
      </w:r>
      <w:r>
        <w:rPr>
          <w:bCs/>
        </w:rPr>
        <w:t xml:space="preserve"> of the Troika in the form of their frequent missions to the country</w:t>
      </w:r>
      <w:r w:rsidR="0045038D">
        <w:rPr>
          <w:bCs/>
        </w:rPr>
        <w:t xml:space="preserve"> is already convincing evidence of effective oversight. Moreover, we are now aware of any data misreporting since Greece issued the GDP-linked bonds.</w:t>
      </w:r>
    </w:p>
    <w:p w14:paraId="51D79B3D" w14:textId="77777777" w:rsidR="00802A7E" w:rsidRPr="00802A7E" w:rsidRDefault="00802A7E" w:rsidP="00802A7E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7B5393F2" w14:textId="1F652644" w:rsidR="0087624C" w:rsidRDefault="00802A7E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Comments on the calibrations</w:t>
      </w:r>
    </w:p>
    <w:p w14:paraId="0679C943" w14:textId="2520C119" w:rsidR="00802A7E" w:rsidRDefault="00905DA1" w:rsidP="0005261D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bCs/>
        </w:rPr>
      </w:pPr>
      <w:r>
        <w:rPr>
          <w:bCs/>
        </w:rPr>
        <w:t>To clarify your concern on the debt level target, f</w:t>
      </w:r>
      <w:r w:rsidR="0005261D">
        <w:rPr>
          <w:bCs/>
        </w:rPr>
        <w:t>or our baseline calibration, we now take the</w:t>
      </w:r>
      <w:r>
        <w:rPr>
          <w:bCs/>
        </w:rPr>
        <w:t xml:space="preserve"> same exact</w:t>
      </w:r>
      <w:r w:rsidR="0005261D">
        <w:rPr>
          <w:bCs/>
        </w:rPr>
        <w:t xml:space="preserve"> targets in Chatterjee and </w:t>
      </w:r>
      <w:proofErr w:type="spellStart"/>
      <w:r w:rsidR="0005261D">
        <w:rPr>
          <w:bCs/>
        </w:rPr>
        <w:t>Eyigungor</w:t>
      </w:r>
      <w:proofErr w:type="spellEnd"/>
      <w:r w:rsidR="0005261D">
        <w:rPr>
          <w:bCs/>
        </w:rPr>
        <w:t xml:space="preserve"> (2011). These are documented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260"/>
      </w:tblGrid>
      <w:tr w:rsidR="0005261D" w14:paraId="2D98DDF4" w14:textId="77777777" w:rsidTr="0005261D">
        <w:trPr>
          <w:jc w:val="center"/>
        </w:trPr>
        <w:tc>
          <w:tcPr>
            <w:tcW w:w="2331" w:type="dxa"/>
          </w:tcPr>
          <w:p w14:paraId="0D9F0CD5" w14:textId="77777777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bCs/>
              </w:rPr>
            </w:pPr>
          </w:p>
        </w:tc>
        <w:tc>
          <w:tcPr>
            <w:tcW w:w="1260" w:type="dxa"/>
          </w:tcPr>
          <w:p w14:paraId="29BC0858" w14:textId="5B426619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Target</w:t>
            </w:r>
          </w:p>
        </w:tc>
      </w:tr>
      <w:tr w:rsidR="0005261D" w14:paraId="4EB1A6E9" w14:textId="77777777" w:rsidTr="0005261D">
        <w:trPr>
          <w:jc w:val="center"/>
        </w:trPr>
        <w:tc>
          <w:tcPr>
            <w:tcW w:w="2331" w:type="dxa"/>
          </w:tcPr>
          <w:p w14:paraId="5C87A624" w14:textId="538DC3B1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Mean Spread</w:t>
            </w:r>
          </w:p>
        </w:tc>
        <w:tc>
          <w:tcPr>
            <w:tcW w:w="1260" w:type="dxa"/>
          </w:tcPr>
          <w:p w14:paraId="5AFD9E60" w14:textId="7F08C355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815</w:t>
            </w:r>
          </w:p>
        </w:tc>
      </w:tr>
      <w:tr w:rsidR="0005261D" w14:paraId="104AEC88" w14:textId="77777777" w:rsidTr="0005261D">
        <w:trPr>
          <w:jc w:val="center"/>
        </w:trPr>
        <w:tc>
          <w:tcPr>
            <w:tcW w:w="2331" w:type="dxa"/>
          </w:tcPr>
          <w:p w14:paraId="105D10EA" w14:textId="5016FD6C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Spread volatility</w:t>
            </w:r>
          </w:p>
        </w:tc>
        <w:tc>
          <w:tcPr>
            <w:tcW w:w="1260" w:type="dxa"/>
          </w:tcPr>
          <w:p w14:paraId="5D5E936F" w14:textId="0151EEDA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443</w:t>
            </w:r>
          </w:p>
        </w:tc>
      </w:tr>
      <w:tr w:rsidR="0005261D" w14:paraId="78FDA4C3" w14:textId="77777777" w:rsidTr="0005261D">
        <w:trPr>
          <w:jc w:val="center"/>
        </w:trPr>
        <w:tc>
          <w:tcPr>
            <w:tcW w:w="2331" w:type="dxa"/>
          </w:tcPr>
          <w:p w14:paraId="2560E3C4" w14:textId="13885420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Default rate</w:t>
            </w:r>
          </w:p>
        </w:tc>
        <w:tc>
          <w:tcPr>
            <w:tcW w:w="1260" w:type="dxa"/>
          </w:tcPr>
          <w:p w14:paraId="110E9F30" w14:textId="3D203947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05261D" w14:paraId="31A92AA8" w14:textId="77777777" w:rsidTr="0005261D">
        <w:trPr>
          <w:jc w:val="center"/>
        </w:trPr>
        <w:tc>
          <w:tcPr>
            <w:tcW w:w="2331" w:type="dxa"/>
          </w:tcPr>
          <w:p w14:paraId="35A6D31D" w14:textId="23C40BFB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Mean debt level</w:t>
            </w:r>
          </w:p>
        </w:tc>
        <w:tc>
          <w:tcPr>
            <w:tcW w:w="1260" w:type="dxa"/>
          </w:tcPr>
          <w:p w14:paraId="5BFDC631" w14:textId="5643A8FA" w:rsidR="0005261D" w:rsidRDefault="0005261D" w:rsidP="0005261D">
            <w:pPr>
              <w:pStyle w:val="ListParagraph"/>
              <w:numPr>
                <w:ilvl w:val="0"/>
                <w:numId w:val="0"/>
              </w:numPr>
              <w:snapToGrid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17.4</w:t>
            </w:r>
          </w:p>
        </w:tc>
      </w:tr>
    </w:tbl>
    <w:p w14:paraId="5935FC61" w14:textId="77777777" w:rsidR="0005261D" w:rsidRDefault="0005261D" w:rsidP="0005261D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bCs/>
        </w:rPr>
      </w:pPr>
    </w:p>
    <w:p w14:paraId="06A265E8" w14:textId="0468EFBB" w:rsidR="00802A7E" w:rsidRDefault="00905DA1" w:rsidP="00802A7E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  <w:r>
        <w:rPr>
          <w:bCs/>
        </w:rPr>
        <w:t xml:space="preserve">With respect to your concern on the default probability, the new subsection XXX provides an alternative calibration targeting a default rate of 5.4%. We show that the message of the paper is robust to this </w:t>
      </w:r>
      <w:r w:rsidR="005003AC">
        <w:rPr>
          <w:bCs/>
        </w:rPr>
        <w:t>modification.</w:t>
      </w:r>
    </w:p>
    <w:p w14:paraId="7F5F4162" w14:textId="77777777" w:rsidR="00905DA1" w:rsidRPr="00802A7E" w:rsidRDefault="00905DA1" w:rsidP="00802A7E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47089679" w14:textId="01624D4C" w:rsidR="0087624C" w:rsidRDefault="001015B8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Comments on simulations</w:t>
      </w:r>
    </w:p>
    <w:p w14:paraId="333C1F4C" w14:textId="07A5D656" w:rsidR="001015B8" w:rsidRDefault="001015B8" w:rsidP="001015B8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001C6701" w14:textId="77777777" w:rsidR="001015B8" w:rsidRPr="001015B8" w:rsidRDefault="001015B8" w:rsidP="001015B8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134C5B12" w14:textId="7BA1C23F" w:rsidR="001015B8" w:rsidRDefault="001015B8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Comments on the results</w:t>
      </w:r>
    </w:p>
    <w:p w14:paraId="2904C572" w14:textId="36DB224D" w:rsidR="0087624C" w:rsidRDefault="004F2400" w:rsidP="004F2400">
      <w:pPr>
        <w:spacing w:line="360" w:lineRule="auto"/>
        <w:jc w:val="both"/>
        <w:rPr>
          <w:bCs/>
        </w:rPr>
      </w:pPr>
      <w:r>
        <w:rPr>
          <w:bCs/>
        </w:rPr>
        <w:t xml:space="preserve">We now conduct the exercise of </w:t>
      </w:r>
      <w:r w:rsidRPr="004F2400">
        <w:rPr>
          <w:bCs/>
        </w:rPr>
        <w:t>pric</w:t>
      </w:r>
      <w:r>
        <w:rPr>
          <w:bCs/>
        </w:rPr>
        <w:t>ing</w:t>
      </w:r>
      <w:r w:rsidRPr="004F2400">
        <w:rPr>
          <w:bCs/>
        </w:rPr>
        <w:t xml:space="preserve"> the marginal bond of various forms using the policy functions from the model with non-state contingent debt (rather than using the difference in equilibrium interest rates when all debt is switched to SCDIs).</w:t>
      </w:r>
      <w:r>
        <w:rPr>
          <w:bCs/>
        </w:rPr>
        <w:t xml:space="preserve"> The results are presented on </w:t>
      </w:r>
      <w:proofErr w:type="gramStart"/>
      <w:r>
        <w:rPr>
          <w:bCs/>
        </w:rPr>
        <w:t>page XXX, and</w:t>
      </w:r>
      <w:proofErr w:type="gramEnd"/>
      <w:r>
        <w:rPr>
          <w:bCs/>
        </w:rPr>
        <w:t xml:space="preserve"> show that XXX.</w:t>
      </w:r>
    </w:p>
    <w:p w14:paraId="23F90374" w14:textId="61677BF5" w:rsidR="004F2400" w:rsidRPr="004F2400" w:rsidRDefault="004F2400" w:rsidP="004F2400">
      <w:pPr>
        <w:spacing w:line="360" w:lineRule="auto"/>
        <w:jc w:val="both"/>
        <w:rPr>
          <w:bCs/>
        </w:rPr>
      </w:pPr>
      <w:r>
        <w:rPr>
          <w:bCs/>
        </w:rPr>
        <w:t>We also include</w:t>
      </w:r>
      <w:r w:rsidRPr="004F2400">
        <w:rPr>
          <w:bCs/>
        </w:rPr>
        <w:t xml:space="preserve"> tables of all relevant targeted and untargeted moments computed over the long run stationary distribution implied by the model</w:t>
      </w:r>
      <w:r>
        <w:rPr>
          <w:bCs/>
        </w:rPr>
        <w:t>. Finally, i</w:t>
      </w:r>
      <w:r w:rsidRPr="004F2400">
        <w:rPr>
          <w:bCs/>
        </w:rPr>
        <w:t xml:space="preserve">n the appendix, </w:t>
      </w:r>
      <w:r>
        <w:rPr>
          <w:bCs/>
        </w:rPr>
        <w:t xml:space="preserve">we </w:t>
      </w:r>
      <w:r w:rsidRPr="004F2400">
        <w:rPr>
          <w:bCs/>
        </w:rPr>
        <w:t>report the various alternative parameter</w:t>
      </w:r>
      <w:r>
        <w:rPr>
          <w:bCs/>
        </w:rPr>
        <w:t>izations</w:t>
      </w:r>
      <w:r w:rsidRPr="004F2400">
        <w:rPr>
          <w:bCs/>
        </w:rPr>
        <w:t xml:space="preserve"> used for the different recalibrations throughout the results and robustness checks sections of the paper.</w:t>
      </w:r>
    </w:p>
    <w:p w14:paraId="20081AD6" w14:textId="77777777" w:rsidR="004F2400" w:rsidRDefault="004F2400" w:rsidP="0087624C">
      <w:pPr>
        <w:spacing w:line="360" w:lineRule="auto"/>
        <w:rPr>
          <w:b/>
        </w:rPr>
      </w:pPr>
    </w:p>
    <w:p w14:paraId="56221829" w14:textId="53C11634" w:rsidR="0087624C" w:rsidRPr="0087624C" w:rsidRDefault="0087624C" w:rsidP="0087624C">
      <w:pPr>
        <w:spacing w:line="360" w:lineRule="auto"/>
        <w:jc w:val="both"/>
        <w:rPr>
          <w:bCs/>
        </w:rPr>
      </w:pPr>
      <w:r w:rsidRPr="0087624C">
        <w:rPr>
          <w:bCs/>
        </w:rPr>
        <w:t>In sum, we believe we have been able to incorporate your recommendations (and the ones of the editor and the other referee), and this has greatly improved the paper. Many thanks!</w:t>
      </w:r>
    </w:p>
    <w:p w14:paraId="41E5AB66" w14:textId="77777777" w:rsidR="00A85FFB" w:rsidRPr="00E81D0C" w:rsidRDefault="00A85FFB" w:rsidP="003D2B61"/>
    <w:sectPr w:rsidR="00A85FFB" w:rsidRPr="00E81D0C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CCBA" w14:textId="77777777" w:rsidR="0087624C" w:rsidRDefault="0087624C" w:rsidP="000B7010">
      <w:r>
        <w:separator/>
      </w:r>
    </w:p>
  </w:endnote>
  <w:endnote w:type="continuationSeparator" w:id="0">
    <w:p w14:paraId="67186920" w14:textId="77777777" w:rsidR="0087624C" w:rsidRDefault="0087624C" w:rsidP="000B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2318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5228" w14:textId="77777777" w:rsidR="0087624C" w:rsidRDefault="0087624C" w:rsidP="000B7010">
      <w:r>
        <w:separator/>
      </w:r>
    </w:p>
  </w:footnote>
  <w:footnote w:type="continuationSeparator" w:id="0">
    <w:p w14:paraId="084E1CF4" w14:textId="77777777" w:rsidR="0087624C" w:rsidRDefault="0087624C" w:rsidP="000B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3792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CEB5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234042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6371DB8"/>
    <w:multiLevelType w:val="hybridMultilevel"/>
    <w:tmpl w:val="A060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7"/>
  </w:num>
  <w:num w:numId="16">
    <w:abstractNumId w:val="8"/>
  </w:num>
  <w:num w:numId="17">
    <w:abstractNumId w:val="8"/>
  </w:num>
  <w:num w:numId="18">
    <w:abstractNumId w:val="1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4C"/>
    <w:rsid w:val="0005261D"/>
    <w:rsid w:val="00070765"/>
    <w:rsid w:val="000A1AEE"/>
    <w:rsid w:val="000B7010"/>
    <w:rsid w:val="000F5251"/>
    <w:rsid w:val="001015B8"/>
    <w:rsid w:val="00170414"/>
    <w:rsid w:val="001D081E"/>
    <w:rsid w:val="00232FB2"/>
    <w:rsid w:val="00325E95"/>
    <w:rsid w:val="003712A7"/>
    <w:rsid w:val="00382DA8"/>
    <w:rsid w:val="00393E59"/>
    <w:rsid w:val="003C5BF0"/>
    <w:rsid w:val="003D2443"/>
    <w:rsid w:val="003D2B61"/>
    <w:rsid w:val="0045038D"/>
    <w:rsid w:val="00451C7E"/>
    <w:rsid w:val="004F2400"/>
    <w:rsid w:val="004F3DA7"/>
    <w:rsid w:val="005003AC"/>
    <w:rsid w:val="005122F5"/>
    <w:rsid w:val="00527B01"/>
    <w:rsid w:val="00531040"/>
    <w:rsid w:val="005B6103"/>
    <w:rsid w:val="005C0460"/>
    <w:rsid w:val="005F722E"/>
    <w:rsid w:val="0060374F"/>
    <w:rsid w:val="0061550F"/>
    <w:rsid w:val="006C41BB"/>
    <w:rsid w:val="006F658C"/>
    <w:rsid w:val="007F425F"/>
    <w:rsid w:val="007F47DE"/>
    <w:rsid w:val="00802A7E"/>
    <w:rsid w:val="00807E50"/>
    <w:rsid w:val="00834E6F"/>
    <w:rsid w:val="0087624C"/>
    <w:rsid w:val="008A3DEB"/>
    <w:rsid w:val="00905DA1"/>
    <w:rsid w:val="00A70E79"/>
    <w:rsid w:val="00A85FFB"/>
    <w:rsid w:val="00BB45B2"/>
    <w:rsid w:val="00C302AD"/>
    <w:rsid w:val="00CE4A79"/>
    <w:rsid w:val="00D87E53"/>
    <w:rsid w:val="00E52EEF"/>
    <w:rsid w:val="00E81D0C"/>
    <w:rsid w:val="00E97ECC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B802"/>
  <w15:chartTrackingRefBased/>
  <w15:docId w15:val="{BD155E92-A669-4E89-A8F6-6A4E25B7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  <w:style w:type="table" w:styleId="TableGrid">
    <w:name w:val="Table Grid"/>
    <w:basedOn w:val="TableNormal"/>
    <w:uiPriority w:val="39"/>
    <w:rsid w:val="0005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</dc:creator>
  <cp:keywords/>
  <dc:description/>
  <cp:lastModifiedBy>RES</cp:lastModifiedBy>
  <cp:revision>7</cp:revision>
  <dcterms:created xsi:type="dcterms:W3CDTF">2022-11-02T13:50:00Z</dcterms:created>
  <dcterms:modified xsi:type="dcterms:W3CDTF">2022-11-02T14:23:00Z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2022-11-02T13:50:02Z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62827c5b-6254-4441-bb33-3118a121bfef</vt:lpwstr>
  </property>
  <property fmtid="{D5CDD505-2E9C-101B-9397-08002B2CF9AE}" pid="8" name="MSIP_Label_0c07ed86-5dc5-4593-ad03-a8684b843815_ContentBits">
    <vt:lpwstr>0</vt:lpwstr>
  </property>
</Properties>
</file>