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E53EF" w14:textId="6A65BFA1" w:rsidR="0087624C" w:rsidRPr="00981E9C" w:rsidRDefault="0087624C" w:rsidP="0087624C">
      <w:pPr>
        <w:autoSpaceDE w:val="0"/>
        <w:autoSpaceDN w:val="0"/>
        <w:adjustRightInd w:val="0"/>
        <w:spacing w:after="120" w:line="360" w:lineRule="auto"/>
        <w:jc w:val="center"/>
        <w:rPr>
          <w:b/>
          <w:sz w:val="28"/>
          <w:szCs w:val="28"/>
        </w:rPr>
      </w:pPr>
      <w:r w:rsidRPr="00981E9C">
        <w:rPr>
          <w:b/>
          <w:sz w:val="28"/>
          <w:szCs w:val="28"/>
        </w:rPr>
        <w:t xml:space="preserve">Response to </w:t>
      </w:r>
      <w:r>
        <w:rPr>
          <w:b/>
          <w:sz w:val="28"/>
          <w:szCs w:val="28"/>
        </w:rPr>
        <w:t xml:space="preserve">Referee </w:t>
      </w:r>
      <w:r w:rsidR="009F534B">
        <w:rPr>
          <w:b/>
          <w:sz w:val="28"/>
          <w:szCs w:val="28"/>
        </w:rPr>
        <w:t>2</w:t>
      </w:r>
    </w:p>
    <w:p w14:paraId="238244D9" w14:textId="6F905613" w:rsidR="0087624C" w:rsidRDefault="0087624C" w:rsidP="0087624C">
      <w:pPr>
        <w:tabs>
          <w:tab w:val="num" w:pos="0"/>
        </w:tabs>
        <w:spacing w:after="240" w:line="360" w:lineRule="auto"/>
        <w:jc w:val="both"/>
      </w:pPr>
      <w:r w:rsidRPr="00DB643E">
        <w:t xml:space="preserve">We would like to thank </w:t>
      </w:r>
      <w:r>
        <w:t>you for your</w:t>
      </w:r>
      <w:r w:rsidRPr="00DB643E">
        <w:t xml:space="preserve"> insightful comments. </w:t>
      </w:r>
      <w:r w:rsidRPr="00C04205">
        <w:t>We</w:t>
      </w:r>
      <w:r>
        <w:t xml:space="preserve"> </w:t>
      </w:r>
      <w:r w:rsidRPr="00C04205">
        <w:t>believe</w:t>
      </w:r>
      <w:r>
        <w:t xml:space="preserve"> </w:t>
      </w:r>
      <w:r w:rsidRPr="00C04205">
        <w:t>that</w:t>
      </w:r>
      <w:r>
        <w:t xml:space="preserve"> </w:t>
      </w:r>
      <w:r w:rsidRPr="00C04205">
        <w:t>we</w:t>
      </w:r>
      <w:r>
        <w:t xml:space="preserve"> </w:t>
      </w:r>
      <w:r w:rsidRPr="00C04205">
        <w:t>have</w:t>
      </w:r>
      <w:r>
        <w:t xml:space="preserve"> </w:t>
      </w:r>
      <w:r w:rsidRPr="00C04205">
        <w:t>been</w:t>
      </w:r>
      <w:r>
        <w:t xml:space="preserve"> </w:t>
      </w:r>
      <w:r w:rsidRPr="00C04205">
        <w:t>able</w:t>
      </w:r>
      <w:r>
        <w:t xml:space="preserve"> </w:t>
      </w:r>
      <w:r w:rsidRPr="00C04205">
        <w:t>to</w:t>
      </w:r>
      <w:r>
        <w:t xml:space="preserve"> </w:t>
      </w:r>
      <w:r w:rsidRPr="00C04205">
        <w:t>address</w:t>
      </w:r>
      <w:r>
        <w:t xml:space="preserve"> all of </w:t>
      </w:r>
      <w:r w:rsidRPr="00C04205">
        <w:t>them,</w:t>
      </w:r>
      <w:r>
        <w:t xml:space="preserve"> </w:t>
      </w:r>
      <w:r w:rsidRPr="00C04205">
        <w:t>and</w:t>
      </w:r>
      <w:r>
        <w:t xml:space="preserve"> that </w:t>
      </w:r>
      <w:r w:rsidRPr="00C04205">
        <w:t>they</w:t>
      </w:r>
      <w:r>
        <w:t xml:space="preserve"> </w:t>
      </w:r>
      <w:r w:rsidRPr="00C04205">
        <w:t>have</w:t>
      </w:r>
      <w:r>
        <w:t xml:space="preserve"> </w:t>
      </w:r>
      <w:r w:rsidRPr="00C04205">
        <w:t>improved</w:t>
      </w:r>
      <w:r>
        <w:t xml:space="preserve"> </w:t>
      </w:r>
      <w:r w:rsidRPr="00C04205">
        <w:t>the</w:t>
      </w:r>
      <w:r>
        <w:t xml:space="preserve"> </w:t>
      </w:r>
      <w:r w:rsidRPr="00C04205">
        <w:t>quality</w:t>
      </w:r>
      <w:r>
        <w:t xml:space="preserve"> </w:t>
      </w:r>
      <w:r w:rsidRPr="00C04205">
        <w:t>of</w:t>
      </w:r>
      <w:r>
        <w:t xml:space="preserve"> the </w:t>
      </w:r>
      <w:r w:rsidRPr="00C04205">
        <w:t xml:space="preserve">paper. </w:t>
      </w:r>
      <w:r>
        <w:t>Let us first present a summary of the main changes introduced in the paper as a response to your comments and those of the editor and the other referee:</w:t>
      </w:r>
    </w:p>
    <w:p w14:paraId="5797F7FF" w14:textId="77777777" w:rsidR="0087624C" w:rsidRPr="00A93A15" w:rsidRDefault="0087624C" w:rsidP="0087624C">
      <w:pPr>
        <w:pStyle w:val="ListParagraph"/>
        <w:numPr>
          <w:ilvl w:val="0"/>
          <w:numId w:val="20"/>
        </w:numPr>
        <w:tabs>
          <w:tab w:val="num" w:pos="0"/>
        </w:tabs>
        <w:snapToGrid/>
        <w:spacing w:after="240" w:line="360" w:lineRule="auto"/>
        <w:jc w:val="both"/>
      </w:pPr>
      <w:r>
        <w:t xml:space="preserve">We </w:t>
      </w:r>
      <w:r w:rsidRPr="002D7B06">
        <w:t>add</w:t>
      </w:r>
      <w:r>
        <w:t>ed</w:t>
      </w:r>
      <w:r w:rsidRPr="002D7B06">
        <w:t xml:space="preserve"> decompositions of government bond spreads between default probability and ambiguity aversion in the baseline economy, both for the </w:t>
      </w:r>
      <w:r>
        <w:t>non</w:t>
      </w:r>
      <w:r w:rsidRPr="002D7B06">
        <w:t>contingent bond and for the state contingent bond.</w:t>
      </w:r>
    </w:p>
    <w:p w14:paraId="7C11D031" w14:textId="77777777" w:rsidR="0087624C" w:rsidRDefault="0087624C" w:rsidP="0087624C">
      <w:pPr>
        <w:pStyle w:val="ListParagraph"/>
        <w:numPr>
          <w:ilvl w:val="0"/>
          <w:numId w:val="20"/>
        </w:numPr>
        <w:tabs>
          <w:tab w:val="num" w:pos="0"/>
        </w:tabs>
        <w:snapToGrid/>
        <w:spacing w:after="240" w:line="360" w:lineRule="auto"/>
        <w:jc w:val="both"/>
      </w:pPr>
      <w:r>
        <w:t xml:space="preserve">We now show that </w:t>
      </w:r>
      <w:r w:rsidRPr="002D7B06">
        <w:t xml:space="preserve">the mechanisms that </w:t>
      </w:r>
      <w:r>
        <w:t>the paper</w:t>
      </w:r>
      <w:r w:rsidRPr="002D7B06">
        <w:t xml:space="preserve"> highlights are robust to adding debt recovery</w:t>
      </w:r>
      <w:r>
        <w:t xml:space="preserve"> and targeting higher default probabilities</w:t>
      </w:r>
      <w:r w:rsidRPr="00A63B8B">
        <w:t xml:space="preserve">. </w:t>
      </w:r>
    </w:p>
    <w:p w14:paraId="526CF0D8" w14:textId="77777777" w:rsidR="0087624C" w:rsidRDefault="0087624C" w:rsidP="0087624C">
      <w:pPr>
        <w:pStyle w:val="ListParagraph"/>
        <w:numPr>
          <w:ilvl w:val="0"/>
          <w:numId w:val="20"/>
        </w:numPr>
        <w:tabs>
          <w:tab w:val="num" w:pos="0"/>
        </w:tabs>
        <w:snapToGrid/>
        <w:spacing w:after="240" w:line="360" w:lineRule="auto"/>
        <w:jc w:val="both"/>
      </w:pPr>
      <w:r>
        <w:t>We shortened the paper to 45 pages by streamlining the section of the stylized model.</w:t>
      </w:r>
    </w:p>
    <w:p w14:paraId="386070DA" w14:textId="77777777" w:rsidR="0087624C" w:rsidRDefault="0087624C" w:rsidP="0087624C">
      <w:pPr>
        <w:tabs>
          <w:tab w:val="num" w:pos="0"/>
        </w:tabs>
        <w:spacing w:after="240" w:line="360" w:lineRule="auto"/>
        <w:jc w:val="both"/>
      </w:pPr>
      <w:bookmarkStart w:id="0" w:name="_Hlk44931019"/>
      <w:r>
        <w:t>The main result in the paper is robust to these and other modifications introduced in the revised version: the typical threshold bond structure used in practice generates substantial welfare losses when lenders are robust, and, when designed optimally, the gains from state-contingent are reinstated.</w:t>
      </w:r>
    </w:p>
    <w:bookmarkEnd w:id="0"/>
    <w:p w14:paraId="66D621A0" w14:textId="1BC61963" w:rsidR="0087624C" w:rsidRDefault="0087624C" w:rsidP="0087624C">
      <w:pPr>
        <w:tabs>
          <w:tab w:val="num" w:pos="0"/>
        </w:tabs>
        <w:spacing w:after="240" w:line="360" w:lineRule="auto"/>
        <w:jc w:val="both"/>
      </w:pPr>
      <w:r w:rsidRPr="00DB643E">
        <w:t xml:space="preserve">Below, we provide a detailed explanation of how we </w:t>
      </w:r>
      <w:r>
        <w:t xml:space="preserve">have </w:t>
      </w:r>
      <w:r w:rsidRPr="00DB643E">
        <w:t xml:space="preserve">addressed </w:t>
      </w:r>
      <w:r>
        <w:t>your recommendations.</w:t>
      </w:r>
    </w:p>
    <w:p w14:paraId="40B6F6DE" w14:textId="23210797" w:rsidR="0087624C" w:rsidRDefault="009F534B" w:rsidP="0087624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>
        <w:rPr>
          <w:b/>
        </w:rPr>
        <w:t>Default probability and debt recovery</w:t>
      </w:r>
      <w:r w:rsidR="0087624C" w:rsidRPr="00804083">
        <w:rPr>
          <w:b/>
        </w:rPr>
        <w:t>.</w:t>
      </w:r>
    </w:p>
    <w:p w14:paraId="452D0013" w14:textId="6BCD41B1" w:rsidR="009F534B" w:rsidRDefault="009F534B" w:rsidP="00253FCC">
      <w:pPr>
        <w:pStyle w:val="ListParagraph"/>
        <w:numPr>
          <w:ilvl w:val="0"/>
          <w:numId w:val="0"/>
        </w:numPr>
        <w:snapToGrid/>
        <w:spacing w:line="360" w:lineRule="auto"/>
        <w:ind w:left="274"/>
        <w:jc w:val="both"/>
        <w:rPr>
          <w:bCs/>
        </w:rPr>
      </w:pPr>
      <w:r w:rsidRPr="009F534B">
        <w:rPr>
          <w:bCs/>
        </w:rPr>
        <w:t>The new subsection XXX now presents a version of the model that allows for debt recovery (we set the recovery rate at 60% as documented by Cruces and Trebesch, 2013), and calibrate this version of the model to target a default probability of 5.4% (relative to the 3% in our baseline). These modifications do not alter the main message of the paper</w:t>
      </w:r>
      <w:r>
        <w:rPr>
          <w:bCs/>
        </w:rPr>
        <w:t>.</w:t>
      </w:r>
    </w:p>
    <w:p w14:paraId="4E8F69D5" w14:textId="77777777" w:rsidR="009F534B" w:rsidRPr="009F534B" w:rsidRDefault="009F534B" w:rsidP="009F534B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2FDE3B6D" w14:textId="77777777" w:rsidR="009F534B" w:rsidRDefault="009F534B" w:rsidP="0087624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>
        <w:rPr>
          <w:b/>
        </w:rPr>
        <w:t>Welfare decompositions.</w:t>
      </w:r>
    </w:p>
    <w:p w14:paraId="7B5393F2" w14:textId="75BD005B" w:rsidR="0087624C" w:rsidRDefault="009F534B" w:rsidP="009F534B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  <w:r w:rsidRPr="009F534B">
        <w:rPr>
          <w:bCs/>
        </w:rPr>
        <w:t>We added these decompositions, which are in pages XXX</w:t>
      </w:r>
      <w:r>
        <w:rPr>
          <w:bCs/>
        </w:rPr>
        <w:t>.</w:t>
      </w:r>
    </w:p>
    <w:p w14:paraId="6EC3A2F5" w14:textId="77777777" w:rsidR="009F534B" w:rsidRPr="009F534B" w:rsidRDefault="009F534B" w:rsidP="009F534B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47089679" w14:textId="454A5903" w:rsidR="0087624C" w:rsidRDefault="003C0A1A" w:rsidP="0087624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>
        <w:rPr>
          <w:b/>
        </w:rPr>
        <w:t>Pricing of marginal state-contingent bond issuance.</w:t>
      </w:r>
    </w:p>
    <w:p w14:paraId="50459F9B" w14:textId="58464227" w:rsidR="003C0A1A" w:rsidRDefault="003C0A1A" w:rsidP="00253FCC">
      <w:pPr>
        <w:pStyle w:val="ListParagraph"/>
        <w:numPr>
          <w:ilvl w:val="0"/>
          <w:numId w:val="0"/>
        </w:numPr>
        <w:snapToGrid/>
        <w:spacing w:line="360" w:lineRule="auto"/>
        <w:ind w:left="274"/>
        <w:jc w:val="both"/>
        <w:rPr>
          <w:bCs/>
        </w:rPr>
      </w:pPr>
      <w:r w:rsidRPr="003C0A1A">
        <w:rPr>
          <w:bCs/>
        </w:rPr>
        <w:t xml:space="preserve">We now conduct the exercise of pricing the marginal bond of various forms using the policy functions from the model with non-state contingent debt (rather than using the difference in </w:t>
      </w:r>
      <w:r w:rsidRPr="003C0A1A">
        <w:rPr>
          <w:bCs/>
        </w:rPr>
        <w:lastRenderedPageBreak/>
        <w:t>equilibrium interest rates when all debt is switched to SCDIs). The results are presented on page XXX, and show that XXX.</w:t>
      </w:r>
    </w:p>
    <w:p w14:paraId="1A64BC1F" w14:textId="77777777" w:rsidR="003C0A1A" w:rsidRPr="003C0A1A" w:rsidRDefault="003C0A1A" w:rsidP="003C0A1A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21DE6BDD" w14:textId="76BC0CA0" w:rsidR="009F534B" w:rsidRDefault="0043700D" w:rsidP="0087624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>
        <w:rPr>
          <w:b/>
        </w:rPr>
        <w:t>Footnotes 3, 5 and 8</w:t>
      </w:r>
    </w:p>
    <w:p w14:paraId="273D434C" w14:textId="744B871C" w:rsidR="004B344C" w:rsidRPr="004B344C" w:rsidRDefault="004B344C" w:rsidP="004B344C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108B2879" w14:textId="77777777" w:rsidR="004B344C" w:rsidRDefault="004B344C" w:rsidP="004B344C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/>
        </w:rPr>
      </w:pPr>
    </w:p>
    <w:p w14:paraId="421075B6" w14:textId="459C61A1" w:rsidR="0043700D" w:rsidRDefault="0043700D" w:rsidP="0087624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rPr>
          <w:b/>
        </w:rPr>
      </w:pPr>
      <w:r w:rsidRPr="0043700D">
        <w:rPr>
          <w:b/>
        </w:rPr>
        <w:t>Why would the GDP growth rate "be less manipulable over the longer term"</w:t>
      </w:r>
      <w:r>
        <w:rPr>
          <w:b/>
        </w:rPr>
        <w:t>?</w:t>
      </w:r>
    </w:p>
    <w:p w14:paraId="1B5A35C2" w14:textId="4708B2BC" w:rsidR="004B344C" w:rsidRDefault="00ED7B71" w:rsidP="004F7E3D">
      <w:pPr>
        <w:pStyle w:val="ListParagraph"/>
        <w:numPr>
          <w:ilvl w:val="0"/>
          <w:numId w:val="0"/>
        </w:numPr>
        <w:snapToGrid/>
        <w:spacing w:line="360" w:lineRule="auto"/>
        <w:ind w:left="274"/>
        <w:jc w:val="both"/>
        <w:rPr>
          <w:bCs/>
        </w:rPr>
      </w:pPr>
      <w:r>
        <w:rPr>
          <w:bCs/>
        </w:rPr>
        <w:t>We believe that for political reasons, it is unlikely that a government in power would report lower actual growth numbers systematically over 4-5 years</w:t>
      </w:r>
      <w:r w:rsidR="004F7E3D">
        <w:rPr>
          <w:bCs/>
        </w:rPr>
        <w:t xml:space="preserve"> (the typical length of an administration)</w:t>
      </w:r>
      <w:r>
        <w:rPr>
          <w:bCs/>
        </w:rPr>
        <w:t>.</w:t>
      </w:r>
    </w:p>
    <w:p w14:paraId="4A68521F" w14:textId="77777777" w:rsidR="004B344C" w:rsidRDefault="004B344C" w:rsidP="004B344C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/>
        </w:rPr>
      </w:pPr>
    </w:p>
    <w:p w14:paraId="072BB204" w14:textId="1F235BFC" w:rsidR="0043700D" w:rsidRDefault="0043700D" w:rsidP="00253FC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jc w:val="both"/>
        <w:rPr>
          <w:b/>
        </w:rPr>
      </w:pPr>
      <w:r w:rsidRPr="0043700D">
        <w:rPr>
          <w:b/>
        </w:rPr>
        <w:t>Why don't they issue threshold bonds for inflation indexation?  Is there something the authors could add about these new questions?</w:t>
      </w:r>
    </w:p>
    <w:p w14:paraId="2A8C9B87" w14:textId="0D65ED3F" w:rsidR="004B344C" w:rsidRDefault="00371548" w:rsidP="00371548">
      <w:pPr>
        <w:pStyle w:val="ListParagraph"/>
        <w:numPr>
          <w:ilvl w:val="0"/>
          <w:numId w:val="0"/>
        </w:numPr>
        <w:snapToGrid/>
        <w:spacing w:line="360" w:lineRule="auto"/>
        <w:ind w:left="274"/>
        <w:jc w:val="both"/>
        <w:rPr>
          <w:bCs/>
        </w:rPr>
      </w:pPr>
      <w:r>
        <w:rPr>
          <w:bCs/>
        </w:rPr>
        <w:t xml:space="preserve">We believe that the main reason that countries have issued threshold bonds for GDP indexation is that GDP-linked bonds have been typically issued in the context of debt restructurings. </w:t>
      </w:r>
      <w:r w:rsidR="00AC254D">
        <w:rPr>
          <w:bCs/>
        </w:rPr>
        <w:t>The threshold design was typically the outcome of the desire to</w:t>
      </w:r>
      <w:r w:rsidR="00AC254D" w:rsidRPr="00AC254D">
        <w:rPr>
          <w:bCs/>
        </w:rPr>
        <w:t xml:space="preserve"> bridg</w:t>
      </w:r>
      <w:r w:rsidR="00AC254D">
        <w:rPr>
          <w:bCs/>
        </w:rPr>
        <w:t>e</w:t>
      </w:r>
      <w:r w:rsidR="00AC254D" w:rsidRPr="00AC254D">
        <w:rPr>
          <w:bCs/>
        </w:rPr>
        <w:t xml:space="preserve"> the gaps in views regarding economic outlook and debt servicing capacity between creditors and debtors. Th</w:t>
      </w:r>
      <w:r w:rsidR="00AC254D">
        <w:rPr>
          <w:bCs/>
        </w:rPr>
        <w:t xml:space="preserve">e underlying idea was that this bond structure </w:t>
      </w:r>
      <w:r w:rsidR="00AC254D" w:rsidRPr="00AC254D">
        <w:rPr>
          <w:bCs/>
        </w:rPr>
        <w:t>may allow for appropriately conservative base case scenarios that minimize the risk of future defaults.</w:t>
      </w:r>
    </w:p>
    <w:p w14:paraId="3A86EC35" w14:textId="77777777" w:rsidR="004B344C" w:rsidRPr="004B344C" w:rsidRDefault="004B344C" w:rsidP="004B344C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38C75826" w14:textId="652073E9" w:rsidR="0043700D" w:rsidRDefault="0043700D" w:rsidP="00253FC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jc w:val="both"/>
        <w:rPr>
          <w:b/>
        </w:rPr>
      </w:pPr>
      <w:r w:rsidRPr="0043700D">
        <w:rPr>
          <w:b/>
        </w:rPr>
        <w:t>Notation:  Since the optimal parameter values of linear indexing and threshold debt also depend on theta, shouldn't the notation be explicit about it (as it is for the optimal design)?</w:t>
      </w:r>
    </w:p>
    <w:p w14:paraId="290B9680" w14:textId="3C9972B5" w:rsidR="004B344C" w:rsidRDefault="004B344C" w:rsidP="004B344C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65D26B29" w14:textId="77777777" w:rsidR="004B344C" w:rsidRPr="004B344C" w:rsidRDefault="004B344C" w:rsidP="004B344C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1E5D6377" w14:textId="5465E2D4" w:rsidR="0043700D" w:rsidRDefault="0043700D" w:rsidP="00253FCC">
      <w:pPr>
        <w:pStyle w:val="ListParagraph"/>
        <w:numPr>
          <w:ilvl w:val="0"/>
          <w:numId w:val="19"/>
        </w:numPr>
        <w:snapToGrid/>
        <w:spacing w:line="360" w:lineRule="auto"/>
        <w:ind w:left="274" w:hanging="274"/>
        <w:jc w:val="both"/>
        <w:rPr>
          <w:b/>
        </w:rPr>
      </w:pPr>
      <w:r w:rsidRPr="0043700D">
        <w:rPr>
          <w:b/>
        </w:rPr>
        <w:t>Table 6 could show the non-contingent benchmark again or it could be merged with Table 5.  The same could be done with the tables for robustness exercises</w:t>
      </w:r>
      <w:r>
        <w:rPr>
          <w:b/>
        </w:rPr>
        <w:t>.</w:t>
      </w:r>
    </w:p>
    <w:p w14:paraId="63BBBE2C" w14:textId="77777777" w:rsidR="004B344C" w:rsidRPr="004B344C" w:rsidRDefault="004B344C" w:rsidP="004B344C">
      <w:pPr>
        <w:pStyle w:val="ListParagraph"/>
        <w:numPr>
          <w:ilvl w:val="0"/>
          <w:numId w:val="0"/>
        </w:numPr>
        <w:snapToGrid/>
        <w:spacing w:line="360" w:lineRule="auto"/>
        <w:ind w:left="274"/>
        <w:rPr>
          <w:bCs/>
        </w:rPr>
      </w:pPr>
    </w:p>
    <w:p w14:paraId="2904C572" w14:textId="57543FD8" w:rsidR="0087624C" w:rsidRDefault="0087624C" w:rsidP="0087624C">
      <w:pPr>
        <w:spacing w:line="360" w:lineRule="auto"/>
        <w:rPr>
          <w:b/>
        </w:rPr>
      </w:pPr>
    </w:p>
    <w:p w14:paraId="56221829" w14:textId="53C11634" w:rsidR="0087624C" w:rsidRPr="0087624C" w:rsidRDefault="0087624C" w:rsidP="0087624C">
      <w:pPr>
        <w:spacing w:line="360" w:lineRule="auto"/>
        <w:jc w:val="both"/>
        <w:rPr>
          <w:bCs/>
        </w:rPr>
      </w:pPr>
      <w:r w:rsidRPr="0087624C">
        <w:rPr>
          <w:bCs/>
        </w:rPr>
        <w:t>In sum, we believe we have been able to incorporate your recommendations (and the ones of the editor and the other referee), and this has greatly improved the paper. Many thanks!</w:t>
      </w:r>
    </w:p>
    <w:p w14:paraId="41E5AB66" w14:textId="77777777" w:rsidR="00A85FFB" w:rsidRPr="00E81D0C" w:rsidRDefault="00A85FFB" w:rsidP="003D2B61"/>
    <w:sectPr w:rsidR="00A85FFB" w:rsidRPr="00E81D0C" w:rsidSect="00170414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CCBA" w14:textId="77777777" w:rsidR="0087624C" w:rsidRDefault="0087624C" w:rsidP="000B7010">
      <w:r>
        <w:separator/>
      </w:r>
    </w:p>
  </w:endnote>
  <w:endnote w:type="continuationSeparator" w:id="0">
    <w:p w14:paraId="67186920" w14:textId="77777777" w:rsidR="0087624C" w:rsidRDefault="0087624C" w:rsidP="000B7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E2318" w14:textId="77777777" w:rsidR="00834E6F" w:rsidRDefault="00834E6F" w:rsidP="00834E6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5228" w14:textId="77777777" w:rsidR="0087624C" w:rsidRDefault="0087624C" w:rsidP="000B7010">
      <w:r>
        <w:separator/>
      </w:r>
    </w:p>
  </w:footnote>
  <w:footnote w:type="continuationSeparator" w:id="0">
    <w:p w14:paraId="084E1CF4" w14:textId="77777777" w:rsidR="0087624C" w:rsidRDefault="0087624C" w:rsidP="000B7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3792" w14:textId="77777777" w:rsidR="005F722E" w:rsidRDefault="005F722E" w:rsidP="005F722E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0CEB5" w14:textId="77777777"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4A2C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1234042A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7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9C4061"/>
    <w:multiLevelType w:val="multilevel"/>
    <w:tmpl w:val="EAD2248A"/>
    <w:lvl w:ilvl="0">
      <w:start w:val="1"/>
      <w:numFmt w:val="bullet"/>
      <w:pStyle w:val="ListParagraph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648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080" w:firstLine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36371DB8"/>
    <w:multiLevelType w:val="hybridMultilevel"/>
    <w:tmpl w:val="A060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C42FD"/>
    <w:multiLevelType w:val="multilevel"/>
    <w:tmpl w:val="84788A78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432" w:hanging="216"/>
      </w:pPr>
      <w:rPr>
        <w:rFonts w:ascii="Courier New" w:hAnsi="Courier New" w:cs="Times New Roman" w:hint="default"/>
      </w:rPr>
    </w:lvl>
    <w:lvl w:ilvl="2">
      <w:start w:val="1"/>
      <w:numFmt w:val="bullet"/>
      <w:lvlText w:val=""/>
      <w:lvlJc w:val="left"/>
      <w:pPr>
        <w:ind w:left="648" w:hanging="216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0EA15A1"/>
    <w:multiLevelType w:val="multilevel"/>
    <w:tmpl w:val="68701036"/>
    <w:lvl w:ilvl="0">
      <w:start w:val="1"/>
      <w:numFmt w:val="upperRoman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7"/>
  </w:num>
  <w:num w:numId="16">
    <w:abstractNumId w:val="8"/>
  </w:num>
  <w:num w:numId="17">
    <w:abstractNumId w:val="8"/>
  </w:num>
  <w:num w:numId="18">
    <w:abstractNumId w:val="10"/>
  </w:num>
  <w:num w:numId="19">
    <w:abstractNumId w:val="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24C"/>
    <w:rsid w:val="00070765"/>
    <w:rsid w:val="000A1AEE"/>
    <w:rsid w:val="000B7010"/>
    <w:rsid w:val="000F5251"/>
    <w:rsid w:val="00170414"/>
    <w:rsid w:val="001D081E"/>
    <w:rsid w:val="00232FB2"/>
    <w:rsid w:val="00253FCC"/>
    <w:rsid w:val="00325E95"/>
    <w:rsid w:val="003712A7"/>
    <w:rsid w:val="00371548"/>
    <w:rsid w:val="00382DA8"/>
    <w:rsid w:val="00393E59"/>
    <w:rsid w:val="003C0A1A"/>
    <w:rsid w:val="003C5BF0"/>
    <w:rsid w:val="003D2443"/>
    <w:rsid w:val="003D2B61"/>
    <w:rsid w:val="0043700D"/>
    <w:rsid w:val="00451C7E"/>
    <w:rsid w:val="004B344C"/>
    <w:rsid w:val="004F3DA7"/>
    <w:rsid w:val="004F7E3D"/>
    <w:rsid w:val="005122F5"/>
    <w:rsid w:val="00527B01"/>
    <w:rsid w:val="00531040"/>
    <w:rsid w:val="005B6103"/>
    <w:rsid w:val="005C0460"/>
    <w:rsid w:val="005F722E"/>
    <w:rsid w:val="0060374F"/>
    <w:rsid w:val="0061550F"/>
    <w:rsid w:val="006C41BB"/>
    <w:rsid w:val="006F658C"/>
    <w:rsid w:val="007F425F"/>
    <w:rsid w:val="007F47DE"/>
    <w:rsid w:val="00807E50"/>
    <w:rsid w:val="00834E6F"/>
    <w:rsid w:val="0087624C"/>
    <w:rsid w:val="008A3DEB"/>
    <w:rsid w:val="009F534B"/>
    <w:rsid w:val="00A70E79"/>
    <w:rsid w:val="00A85FFB"/>
    <w:rsid w:val="00AC254D"/>
    <w:rsid w:val="00BB45B2"/>
    <w:rsid w:val="00CE4A79"/>
    <w:rsid w:val="00D87E53"/>
    <w:rsid w:val="00E52EEF"/>
    <w:rsid w:val="00E81D0C"/>
    <w:rsid w:val="00E97ECC"/>
    <w:rsid w:val="00ED7B71"/>
    <w:rsid w:val="00F078E4"/>
    <w:rsid w:val="00F5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3B802"/>
  <w15:chartTrackingRefBased/>
  <w15:docId w15:val="{BD155E92-A669-4E89-A8F6-6A4E25B7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2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85FFB"/>
    <w:pPr>
      <w:snapToGrid w:val="0"/>
      <w:spacing w:before="240" w:line="257" w:lineRule="auto"/>
      <w:outlineLvl w:val="0"/>
    </w:pPr>
    <w:rPr>
      <w:rFonts w:eastAsia="Century Gothic" w:cs="Arial"/>
      <w:color w:val="808080" w:themeColor="background1" w:themeShade="80"/>
      <w:spacing w:val="2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1"/>
    <w:qFormat/>
    <w:rsid w:val="00A85FFB"/>
    <w:pPr>
      <w:pBdr>
        <w:bottom w:val="single" w:sz="8" w:space="1" w:color="A6A6A6"/>
      </w:pBdr>
      <w:snapToGrid w:val="0"/>
      <w:spacing w:before="480" w:after="120"/>
      <w:outlineLvl w:val="1"/>
    </w:pPr>
    <w:rPr>
      <w:rFonts w:eastAsia="Century Gothic" w:cs="Arial (Body)"/>
      <w:b/>
      <w:caps/>
      <w:color w:val="009CDE"/>
      <w:szCs w:val="20"/>
    </w:rPr>
  </w:style>
  <w:style w:type="paragraph" w:styleId="Heading3">
    <w:name w:val="heading 3"/>
    <w:basedOn w:val="Normal"/>
    <w:next w:val="Normal"/>
    <w:link w:val="Heading3Char"/>
    <w:uiPriority w:val="1"/>
    <w:qFormat/>
    <w:rsid w:val="006C41BB"/>
    <w:pPr>
      <w:snapToGrid w:val="0"/>
      <w:spacing w:before="240"/>
      <w:outlineLvl w:val="2"/>
    </w:pPr>
    <w:rPr>
      <w:rFonts w:eastAsiaTheme="majorEastAsia" w:cstheme="majorBidi"/>
      <w:caps/>
      <w:color w:val="707372"/>
      <w:szCs w:val="20"/>
    </w:rPr>
  </w:style>
  <w:style w:type="paragraph" w:styleId="Heading4">
    <w:name w:val="heading 4"/>
    <w:basedOn w:val="Normal"/>
    <w:next w:val="Normal"/>
    <w:link w:val="Heading4Char"/>
    <w:uiPriority w:val="1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13"/>
    <w:unhideWhenUsed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link w:val="Heading1"/>
    <w:uiPriority w:val="1"/>
    <w:rsid w:val="005B6103"/>
    <w:rPr>
      <w:rFonts w:ascii="Arial" w:eastAsia="Century Gothic" w:hAnsi="Arial" w:cs="Arial"/>
      <w:color w:val="808080" w:themeColor="background1" w:themeShade="80"/>
      <w:spacing w:val="2"/>
      <w:sz w:val="42"/>
      <w:szCs w:val="42"/>
    </w:rPr>
  </w:style>
  <w:style w:type="character" w:customStyle="1" w:styleId="Heading2Char">
    <w:name w:val="Heading 2 Char"/>
    <w:link w:val="Heading2"/>
    <w:uiPriority w:val="1"/>
    <w:rsid w:val="005B6103"/>
    <w:rPr>
      <w:rFonts w:ascii="Arial" w:eastAsia="Century Gothic" w:hAnsi="Arial" w:cs="Arial (Body)"/>
      <w:b/>
      <w:caps/>
      <w:color w:val="009CD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1"/>
    <w:rsid w:val="005B6103"/>
    <w:rPr>
      <w:rFonts w:ascii="Arial" w:eastAsiaTheme="majorEastAsia" w:hAnsi="Arial" w:cstheme="majorBidi"/>
      <w:caps/>
      <w:color w:val="707372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1"/>
    <w:rsid w:val="004F3DA7"/>
    <w:rPr>
      <w:rFonts w:ascii="Arial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uiPriority w:val="13"/>
    <w:rsid w:val="004F3DA7"/>
    <w:rPr>
      <w:rFonts w:ascii="Arial" w:hAnsi="Arial" w:cs="Times New Roman"/>
      <w:bCs/>
      <w:i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5"/>
    <w:qFormat/>
    <w:rsid w:val="00807E50"/>
    <w:pPr>
      <w:numPr>
        <w:numId w:val="18"/>
      </w:numPr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qFormat/>
    <w:rsid w:val="00807E50"/>
    <w:pPr>
      <w:numPr>
        <w:numId w:val="17"/>
      </w:numPr>
      <w:snapToGrid w:val="0"/>
      <w:contextualSpacing/>
    </w:pPr>
    <w:rPr>
      <w:rFonts w:eastAsia="Century Gothic" w:cs="Arial"/>
      <w:color w:val="000000" w:themeColor="text1"/>
      <w:szCs w:val="22"/>
    </w:rPr>
  </w:style>
  <w:style w:type="paragraph" w:customStyle="1" w:styleId="ParagraphNumbering">
    <w:name w:val="Paragraph Numbering"/>
    <w:basedOn w:val="Normal"/>
    <w:uiPriority w:val="3"/>
    <w:qFormat/>
    <w:rsid w:val="00BB45B2"/>
    <w:pPr>
      <w:numPr>
        <w:numId w:val="15"/>
      </w:numPr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paragraph" w:customStyle="1" w:styleId="Objective">
    <w:name w:val="Objective"/>
    <w:basedOn w:val="Normal"/>
    <w:qFormat/>
    <w:rsid w:val="00A85FFB"/>
    <w:pPr>
      <w:pBdr>
        <w:top w:val="single" w:sz="8" w:space="10" w:color="F2F2F1"/>
        <w:left w:val="single" w:sz="8" w:space="10" w:color="F2F2F1"/>
        <w:bottom w:val="single" w:sz="8" w:space="6" w:color="F2F2F1"/>
        <w:right w:val="single" w:sz="8" w:space="10" w:color="F2F2F1"/>
      </w:pBdr>
      <w:shd w:val="clear" w:color="auto" w:fill="F2F2F1"/>
      <w:snapToGrid w:val="0"/>
      <w:ind w:left="200" w:right="200"/>
    </w:pPr>
    <w:rPr>
      <w:rFonts w:eastAsia="Century Gothic" w:cs="Arial"/>
      <w:color w:val="000000" w:themeColor="text1"/>
      <w:szCs w:val="22"/>
    </w:rPr>
  </w:style>
  <w:style w:type="character" w:customStyle="1" w:styleId="RegularDKB">
    <w:name w:val="Regular DKB"/>
    <w:uiPriority w:val="2"/>
    <w:qFormat/>
    <w:rsid w:val="005B6103"/>
    <w:rPr>
      <w:color w:val="004C97" w:themeColor="text2"/>
    </w:rPr>
  </w:style>
  <w:style w:type="character" w:customStyle="1" w:styleId="StrongDKB">
    <w:name w:val="Strong DKB"/>
    <w:uiPriority w:val="2"/>
    <w:qFormat/>
    <w:rsid w:val="005B6103"/>
    <w:rPr>
      <w:rFonts w:ascii="Arial Black" w:hAnsi="Arial Black"/>
      <w:b w:val="0"/>
      <w:bCs/>
      <w:i w:val="0"/>
      <w:color w:val="004C97" w:themeColor="text2"/>
    </w:rPr>
  </w:style>
  <w:style w:type="character" w:customStyle="1" w:styleId="StrongMDB">
    <w:name w:val="Strong MDB"/>
    <w:uiPriority w:val="2"/>
    <w:qFormat/>
    <w:rsid w:val="005B6103"/>
    <w:rPr>
      <w:b/>
      <w:bCs/>
      <w:color w:val="009CDE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Custom Design">
  <a:themeElements>
    <a:clrScheme name="IMF Colors V2">
      <a:dk1>
        <a:srgbClr val="000000"/>
      </a:dk1>
      <a:lt1>
        <a:srgbClr val="FFFFFF"/>
      </a:lt1>
      <a:dk2>
        <a:srgbClr val="004C97"/>
      </a:dk2>
      <a:lt2>
        <a:srgbClr val="CAEDFE"/>
      </a:lt2>
      <a:accent1>
        <a:srgbClr val="009CDE"/>
      </a:accent1>
      <a:accent2>
        <a:srgbClr val="F2A900"/>
      </a:accent2>
      <a:accent3>
        <a:srgbClr val="8031A7"/>
      </a:accent3>
      <a:accent4>
        <a:srgbClr val="DA291C"/>
      </a:accent4>
      <a:accent5>
        <a:srgbClr val="78BE20"/>
      </a:accent5>
      <a:accent6>
        <a:srgbClr val="FF8200"/>
      </a:accent6>
      <a:hlink>
        <a:srgbClr val="009CDE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Fund Blue">
      <a:srgbClr val="004C97"/>
    </a:custClr>
    <a:custClr name="Azure">
      <a:srgbClr val="009CDE"/>
    </a:custClr>
    <a:custClr name="Gold">
      <a:srgbClr val="F2A900"/>
    </a:custClr>
    <a:custClr name="Purple">
      <a:srgbClr val="8031A7"/>
    </a:custClr>
    <a:custClr name="Red">
      <a:srgbClr val="DA291C"/>
    </a:custClr>
    <a:custClr name="Green">
      <a:srgbClr val="78BE20"/>
    </a:custClr>
    <a:custClr name="Orange">
      <a:srgbClr val="FF8200"/>
    </a:custClr>
    <a:custClr name="Dark Teal">
      <a:srgbClr val="00B0B9"/>
    </a:custClr>
    <a:custClr name="Dark Green">
      <a:srgbClr val="658D1B"/>
    </a:custClr>
    <a:custClr name="Dark Orange">
      <a:srgbClr val="E35205"/>
    </a:custClr>
    <a:custClr name="Plum">
      <a:srgbClr val="910048"/>
    </a:custClr>
    <a:custClr name="Slate">
      <a:srgbClr val="5E8AB4"/>
    </a:custClr>
    <a:custClr name="Lapis">
      <a:srgbClr val="407EC9"/>
    </a:custClr>
    <a:custClr name="Dark Gray">
      <a:srgbClr val="707372"/>
    </a:custClr>
    <a:custClr name="Graphite">
      <a:srgbClr val="6E6259"/>
    </a:custClr>
    <a:custClr name="Light Gray">
      <a:srgbClr val="B1B3B3"/>
    </a:custClr>
    <a:custClr name="Aubergine">
      <a:srgbClr val="001E60"/>
    </a:custClr>
  </a:custClrLst>
  <a:extLst>
    <a:ext uri="{05A4C25C-085E-4340-85A3-A5531E510DB2}">
      <thm15:themeFamily xmlns:thm15="http://schemas.microsoft.com/office/thememl/2012/main" name="IMF_PresentationTemplate-General.potx" id="{690FEF46-D631-674C-A5C5-50E70E85612A}" vid="{E36708C0-345E-2E4E-8E24-1157AE545E6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</dc:creator>
  <cp:keywords/>
  <dc:description/>
  <cp:lastModifiedBy>RES</cp:lastModifiedBy>
  <cp:revision>10</cp:revision>
  <dcterms:created xsi:type="dcterms:W3CDTF">2022-11-02T13:50:00Z</dcterms:created>
  <dcterms:modified xsi:type="dcterms:W3CDTF">2022-11-03T15:40:00Z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07ed86-5dc5-4593-ad03-a8684b843815_Enabled">
    <vt:lpwstr>true</vt:lpwstr>
  </property>
  <property fmtid="{D5CDD505-2E9C-101B-9397-08002B2CF9AE}" pid="3" name="MSIP_Label_0c07ed86-5dc5-4593-ad03-a8684b843815_SetDate">
    <vt:lpwstr>2022-11-02T13:50:02Z</vt:lpwstr>
  </property>
  <property fmtid="{D5CDD505-2E9C-101B-9397-08002B2CF9AE}" pid="4" name="MSIP_Label_0c07ed86-5dc5-4593-ad03-a8684b843815_Method">
    <vt:lpwstr>Standard</vt:lpwstr>
  </property>
  <property fmtid="{D5CDD505-2E9C-101B-9397-08002B2CF9AE}" pid="5" name="MSIP_Label_0c07ed86-5dc5-4593-ad03-a8684b843815_Name">
    <vt:lpwstr>0c07ed86-5dc5-4593-ad03-a8684b843815</vt:lpwstr>
  </property>
  <property fmtid="{D5CDD505-2E9C-101B-9397-08002B2CF9AE}" pid="6" name="MSIP_Label_0c07ed86-5dc5-4593-ad03-a8684b843815_SiteId">
    <vt:lpwstr>8085fa43-302e-45bd-b171-a6648c3b6be7</vt:lpwstr>
  </property>
  <property fmtid="{D5CDD505-2E9C-101B-9397-08002B2CF9AE}" pid="7" name="MSIP_Label_0c07ed86-5dc5-4593-ad03-a8684b843815_ActionId">
    <vt:lpwstr>62827c5b-6254-4441-bb33-3118a121bfef</vt:lpwstr>
  </property>
  <property fmtid="{D5CDD505-2E9C-101B-9397-08002B2CF9AE}" pid="8" name="MSIP_Label_0c07ed86-5dc5-4593-ad03-a8684b843815_ContentBits">
    <vt:lpwstr>0</vt:lpwstr>
  </property>
</Properties>
</file>