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15D3" w14:textId="77777777" w:rsidR="00F34254" w:rsidRDefault="00E61A6D">
      <w:r>
        <w:rPr>
          <w:b/>
          <w:sz w:val="40"/>
        </w:rPr>
        <w:t>EmpowerMH — Key Partnerships (Current)</w:t>
      </w:r>
    </w:p>
    <w:p w14:paraId="140F306C" w14:textId="77777777" w:rsidR="00F34254" w:rsidRDefault="00E61A6D">
      <w:pPr>
        <w:spacing w:after="160"/>
      </w:pPr>
      <w:r>
        <w:t>Concise one-pager highlighting established partners and channels.</w:t>
      </w:r>
    </w:p>
    <w:p w14:paraId="25C160E0" w14:textId="77777777" w:rsidR="00F34254" w:rsidRDefault="00E61A6D">
      <w:pPr>
        <w:spacing w:before="160" w:after="80"/>
      </w:pPr>
      <w:r>
        <w:rPr>
          <w:b/>
          <w:sz w:val="26"/>
        </w:rPr>
        <w:t>VA Subcontracts (Federal Exams)</w:t>
      </w:r>
    </w:p>
    <w:p w14:paraId="06AE295A" w14:textId="77777777" w:rsidR="00F34254" w:rsidRDefault="00E61A6D">
      <w:pPr>
        <w:pStyle w:val="ListBullet"/>
      </w:pPr>
      <w:r>
        <w:t>QTC — Prime/sub relationship delivering VA psychological evaluations across multiple states.</w:t>
      </w:r>
    </w:p>
    <w:p w14:paraId="6275091B" w14:textId="77777777" w:rsidR="00F34254" w:rsidRDefault="00E61A6D">
      <w:pPr>
        <w:pStyle w:val="ListBullet"/>
      </w:pPr>
      <w:r>
        <w:t>VES — Established prime/sub collaboration supporting timely exam throughput and QA standards.</w:t>
      </w:r>
    </w:p>
    <w:p w14:paraId="3EEB3F7A" w14:textId="77777777" w:rsidR="00F34254" w:rsidRDefault="00E61A6D">
      <w:pPr>
        <w:pStyle w:val="ListBullet"/>
      </w:pPr>
      <w:r>
        <w:t>OptumServe — Prime/sub alignment for VA exams with consistent volume and coverage.</w:t>
      </w:r>
    </w:p>
    <w:p w14:paraId="61EF1006" w14:textId="77777777" w:rsidR="00F34254" w:rsidRDefault="00E61A6D">
      <w:pPr>
        <w:pStyle w:val="ListBullet"/>
      </w:pPr>
      <w:r>
        <w:t>Loyal Source — Ongoing prime/sub partnership expanding regional capacity for VA exam services.</w:t>
      </w:r>
    </w:p>
    <w:p w14:paraId="2B4694D1" w14:textId="77777777" w:rsidR="00F34254" w:rsidRDefault="00E61A6D">
      <w:pPr>
        <w:spacing w:before="160" w:after="80"/>
      </w:pPr>
      <w:r>
        <w:rPr>
          <w:b/>
          <w:sz w:val="26"/>
        </w:rPr>
        <w:t>Personal Injury (PI) &amp; Workers’ Comp Ecosystem</w:t>
      </w:r>
    </w:p>
    <w:p w14:paraId="4DC7D936" w14:textId="77777777" w:rsidR="00F34254" w:rsidRDefault="00E61A6D">
      <w:pPr>
        <w:pStyle w:val="ListBullet"/>
      </w:pPr>
      <w:r>
        <w:t>Law Firms (hundreds nationwide) — Referral relationships for psych evaluations and brief therapy under liens/LOPs.</w:t>
      </w:r>
    </w:p>
    <w:p w14:paraId="06E4CACE" w14:textId="77777777" w:rsidR="00F34254" w:rsidRDefault="00E61A6D">
      <w:pPr>
        <w:pStyle w:val="ListBullet"/>
      </w:pPr>
      <w:r>
        <w:t>Medical Clinics (hundreds) — Collaborative evaluation and treatment workflows aligned to PI/WC needs.</w:t>
      </w:r>
    </w:p>
    <w:p w14:paraId="124500AE" w14:textId="77777777" w:rsidR="00F34254" w:rsidRDefault="00E61A6D">
      <w:pPr>
        <w:pStyle w:val="ListBullet"/>
      </w:pPr>
      <w:r>
        <w:t>Sales Outsourcing Firms — Partnered to broaden market reach and accelerate new account acquisition.</w:t>
      </w:r>
    </w:p>
    <w:p w14:paraId="7C37BD64" w14:textId="77777777" w:rsidR="00F34254" w:rsidRDefault="00E61A6D">
      <w:pPr>
        <w:spacing w:before="160" w:after="80"/>
      </w:pPr>
      <w:r>
        <w:rPr>
          <w:b/>
          <w:sz w:val="26"/>
        </w:rPr>
        <w:t>Technology Platform (Owned IP)</w:t>
      </w:r>
    </w:p>
    <w:p w14:paraId="0169AFA6" w14:textId="77777777" w:rsidR="00F34254" w:rsidRDefault="00E61A6D">
      <w:pPr>
        <w:pStyle w:val="ListBullet"/>
      </w:pPr>
      <w:r>
        <w:t>EmpowerMH Proprietary Platform &amp; EHR — In-house system for scheduling, documentation, QA, secure data, and PI/VA/WC workflows; reduces dependency on third-party EHRs and strengthens analytics.</w:t>
      </w:r>
    </w:p>
    <w:p w14:paraId="4E8432C5" w14:textId="77777777" w:rsidR="00F34254" w:rsidRDefault="00E61A6D">
      <w:pPr>
        <w:spacing w:before="160" w:after="80"/>
      </w:pPr>
      <w:r>
        <w:rPr>
          <w:b/>
          <w:sz w:val="26"/>
        </w:rPr>
        <w:t>Why It Matters</w:t>
      </w:r>
    </w:p>
    <w:p w14:paraId="409C83A3" w14:textId="77777777" w:rsidR="00F34254" w:rsidRDefault="00E61A6D">
      <w:pPr>
        <w:pStyle w:val="ListBullet"/>
      </w:pPr>
      <w:r>
        <w:t>Demonstrates national credibility and contract discipline with enterprise partners.</w:t>
      </w:r>
    </w:p>
    <w:p w14:paraId="4F72E1E0" w14:textId="77777777" w:rsidR="00F34254" w:rsidRDefault="00E61A6D">
      <w:pPr>
        <w:pStyle w:val="ListBullet"/>
      </w:pPr>
      <w:r>
        <w:t>Proves a durable referral flywheel across PI/WC with diversified intake sources.</w:t>
      </w:r>
    </w:p>
    <w:p w14:paraId="05502A2B" w14:textId="77777777" w:rsidR="00F34254" w:rsidRDefault="00E61A6D">
      <w:pPr>
        <w:pStyle w:val="ListBullet"/>
      </w:pPr>
      <w:r>
        <w:t>Highlights defensible tech with an owned EHR that supports scale and outcomes.</w:t>
      </w:r>
    </w:p>
    <w:sectPr w:rsidR="00F3425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4D64" w14:textId="77777777" w:rsidR="00E61A6D" w:rsidRDefault="00E61A6D" w:rsidP="00E61A6D">
      <w:pPr>
        <w:spacing w:after="0" w:line="240" w:lineRule="auto"/>
      </w:pPr>
      <w:r>
        <w:separator/>
      </w:r>
    </w:p>
  </w:endnote>
  <w:endnote w:type="continuationSeparator" w:id="0">
    <w:p w14:paraId="63E78655" w14:textId="77777777" w:rsidR="00E61A6D" w:rsidRDefault="00E61A6D" w:rsidP="00E61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7E808" w14:textId="77777777" w:rsidR="00E61A6D" w:rsidRDefault="00E61A6D" w:rsidP="00E61A6D">
      <w:pPr>
        <w:spacing w:after="0" w:line="240" w:lineRule="auto"/>
      </w:pPr>
      <w:r>
        <w:separator/>
      </w:r>
    </w:p>
  </w:footnote>
  <w:footnote w:type="continuationSeparator" w:id="0">
    <w:p w14:paraId="3A023C9B" w14:textId="77777777" w:rsidR="00E61A6D" w:rsidRDefault="00E61A6D" w:rsidP="00E61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1274" w14:textId="77777777" w:rsidR="00E61A6D" w:rsidRPr="00665A1C" w:rsidRDefault="00E61A6D" w:rsidP="00E61A6D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EMPOWER</w:t>
    </w:r>
    <w:r w:rsidRPr="00665A1C">
      <w:rPr>
        <w:rFonts w:ascii="Times New Roman" w:eastAsia="Times New Roman" w:hAnsi="Times New Roman" w:cs="Times New Roman"/>
        <w:b/>
        <w:bCs/>
      </w:rPr>
      <w:t xml:space="preserve"> </w:t>
    </w:r>
    <w:r>
      <w:rPr>
        <w:rFonts w:ascii="Times New Roman" w:eastAsia="Times New Roman" w:hAnsi="Times New Roman" w:cs="Times New Roman"/>
        <w:b/>
        <w:bCs/>
      </w:rPr>
      <w:t>MENTAL HEALTH</w:t>
    </w:r>
    <w:r w:rsidRPr="00665A1C">
      <w:rPr>
        <w:rFonts w:ascii="Times New Roman" w:eastAsia="Times New Roman" w:hAnsi="Times New Roman" w:cs="Times New Roman"/>
        <w:b/>
        <w:bCs/>
      </w:rPr>
      <w:t>, PLLC</w:t>
    </w:r>
  </w:p>
  <w:p w14:paraId="4D65BBB7" w14:textId="77777777" w:rsidR="00E61A6D" w:rsidRDefault="00E61A6D" w:rsidP="00E61A6D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Cs/>
        <w:sz w:val="24"/>
        <w:szCs w:val="24"/>
      </w:rPr>
    </w:pPr>
    <w:r>
      <w:rPr>
        <w:rFonts w:ascii="Times New Roman" w:eastAsia="Times New Roman" w:hAnsi="Times New Roman" w:cs="Times New Roman"/>
        <w:bCs/>
        <w:sz w:val="24"/>
        <w:szCs w:val="24"/>
      </w:rPr>
      <w:t>5225 N Central Ave suite 230</w:t>
    </w:r>
  </w:p>
  <w:p w14:paraId="52DF3192" w14:textId="77777777" w:rsidR="00E61A6D" w:rsidRDefault="00E61A6D" w:rsidP="00E61A6D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Cs/>
        <w:sz w:val="24"/>
        <w:szCs w:val="24"/>
      </w:rPr>
    </w:pPr>
    <w:r>
      <w:rPr>
        <w:rFonts w:ascii="Times New Roman" w:eastAsia="Times New Roman" w:hAnsi="Times New Roman" w:cs="Times New Roman"/>
        <w:bCs/>
        <w:sz w:val="24"/>
        <w:szCs w:val="24"/>
      </w:rPr>
      <w:t>Phoenix AZ, 85012</w:t>
    </w:r>
  </w:p>
  <w:p w14:paraId="577DA2ED" w14:textId="77777777" w:rsidR="00E61A6D" w:rsidRDefault="00E61A6D" w:rsidP="00E61A6D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Cs/>
        <w:sz w:val="24"/>
        <w:szCs w:val="24"/>
      </w:rPr>
    </w:pPr>
    <w:r>
      <w:rPr>
        <w:rFonts w:ascii="Times New Roman" w:eastAsia="Times New Roman" w:hAnsi="Times New Roman" w:cs="Times New Roman"/>
        <w:bCs/>
        <w:sz w:val="24"/>
        <w:szCs w:val="24"/>
      </w:rPr>
      <w:t>602-730-5307</w:t>
    </w:r>
  </w:p>
  <w:p w14:paraId="0C1D6852" w14:textId="04EFC57F" w:rsidR="00E61A6D" w:rsidRPr="00E61A6D" w:rsidRDefault="00E61A6D" w:rsidP="00E61A6D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Cs/>
        <w:sz w:val="24"/>
        <w:szCs w:val="24"/>
      </w:rPr>
    </w:pPr>
    <w:r>
      <w:rPr>
        <w:rFonts w:ascii="Times New Roman" w:eastAsia="Times New Roman" w:hAnsi="Times New Roman" w:cs="Times New Roman"/>
        <w:bCs/>
        <w:noProof/>
        <w:sz w:val="24"/>
        <w:szCs w:val="24"/>
      </w:rPr>
      <w:drawing>
        <wp:inline distT="0" distB="0" distL="0" distR="0" wp14:anchorId="7BDFAC0F" wp14:editId="4ED8C431">
          <wp:extent cx="922351" cy="792480"/>
          <wp:effectExtent l="0" t="0" r="0" b="7620"/>
          <wp:docPr id="2" name="Picture 2" descr="A logo for a mental health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for a mental health company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150" cy="793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30247">
    <w:abstractNumId w:val="8"/>
  </w:num>
  <w:num w:numId="2" w16cid:durableId="1727298289">
    <w:abstractNumId w:val="6"/>
  </w:num>
  <w:num w:numId="3" w16cid:durableId="1697854361">
    <w:abstractNumId w:val="5"/>
  </w:num>
  <w:num w:numId="4" w16cid:durableId="635140705">
    <w:abstractNumId w:val="4"/>
  </w:num>
  <w:num w:numId="5" w16cid:durableId="915631466">
    <w:abstractNumId w:val="7"/>
  </w:num>
  <w:num w:numId="6" w16cid:durableId="1931311663">
    <w:abstractNumId w:val="3"/>
  </w:num>
  <w:num w:numId="7" w16cid:durableId="2127043750">
    <w:abstractNumId w:val="2"/>
  </w:num>
  <w:num w:numId="8" w16cid:durableId="1968000446">
    <w:abstractNumId w:val="1"/>
  </w:num>
  <w:num w:numId="9" w16cid:durableId="48944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0359"/>
    <w:rsid w:val="00AA1D8D"/>
    <w:rsid w:val="00B47730"/>
    <w:rsid w:val="00CB0664"/>
    <w:rsid w:val="00E61A6D"/>
    <w:rsid w:val="00F34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C0424"/>
  <w14:defaultImageDpi w14:val="300"/>
  <w15:docId w15:val="{53671BA4-BA7E-4ED2-A455-DF12978D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8B3BB2E549564084FC43B95F401D6F" ma:contentTypeVersion="7" ma:contentTypeDescription="Create a new document." ma:contentTypeScope="" ma:versionID="b616c283e360504153a2d7756cacda89">
  <xsd:schema xmlns:xsd="http://www.w3.org/2001/XMLSchema" xmlns:xs="http://www.w3.org/2001/XMLSchema" xmlns:p="http://schemas.microsoft.com/office/2006/metadata/properties" xmlns:ns1="http://schemas.microsoft.com/sharepoint/v3" xmlns:ns2="15b3150e-d951-47f6-8a76-bc84b4696756" xmlns:ns3="8decec3c-4895-4ccd-a827-84d92c711d61" xmlns:ns4="800c1269-9eb2-46c1-81fe-9746c8453f9a" xmlns:ns5="f3fd9d2e-7bd3-4ec4-9d9f-5e0eb2429ba5" targetNamespace="http://schemas.microsoft.com/office/2006/metadata/properties" ma:root="true" ma:fieldsID="4f63bfccc4b32a0a9e8c053528b01446" ns1:_="" ns2:_="" ns3:_="" ns4:_="" ns5:_="">
    <xsd:import namespace="http://schemas.microsoft.com/sharepoint/v3"/>
    <xsd:import namespace="15b3150e-d951-47f6-8a76-bc84b4696756"/>
    <xsd:import namespace="8decec3c-4895-4ccd-a827-84d92c711d61"/>
    <xsd:import namespace="800c1269-9eb2-46c1-81fe-9746c8453f9a"/>
    <xsd:import namespace="f3fd9d2e-7bd3-4ec4-9d9f-5e0eb2429b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4:lcf76f155ced4ddcb4097134ff3c332f" minOccurs="0"/>
                <xsd:element ref="ns5:TaxCatchAll" minOccurs="0"/>
                <xsd:element ref="ns1:_ip_UnifiedCompliancePolicyProperties" minOccurs="0"/>
                <xsd:element ref="ns1:_ip_UnifiedCompliancePolicyUIActio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3150e-d951-47f6-8a76-bc84b46967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ecec3c-4895-4ccd-a827-84d92c711d6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c1269-9eb2-46c1-81fe-9746c8453f9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d9dcc81-7629-4abb-8417-853523a652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d9d2e-7bd3-4ec4-9d9f-5e0eb2429ba5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3f9f2498-dd46-41a8-bf09-a0335be7ef8b}" ma:internalName="TaxCatchAll" ma:showField="CatchAllData" ma:web="f3fd9d2e-7bd3-4ec4-9d9f-5e0eb2429b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3fd9d2e-7bd3-4ec4-9d9f-5e0eb2429ba5" xsi:nil="true"/>
    <_ip_UnifiedCompliancePolicyProperties xmlns="http://schemas.microsoft.com/sharepoint/v3" xsi:nil="true"/>
    <lcf76f155ced4ddcb4097134ff3c332f xmlns="800c1269-9eb2-46c1-81fe-9746c8453f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479B7A-EA8C-4BBB-919B-31728F526BFE}"/>
</file>

<file path=customXml/itemProps3.xml><?xml version="1.0" encoding="utf-8"?>
<ds:datastoreItem xmlns:ds="http://schemas.openxmlformats.org/officeDocument/2006/customXml" ds:itemID="{BD078D3F-40A0-443D-A5DE-7936B46CF004}"/>
</file>

<file path=customXml/itemProps4.xml><?xml version="1.0" encoding="utf-8"?>
<ds:datastoreItem xmlns:ds="http://schemas.openxmlformats.org/officeDocument/2006/customXml" ds:itemID="{153D3577-7E48-40F6-AEA0-AC46750A91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1168</Characters>
  <Application>Microsoft Office Word</Application>
  <DocSecurity>0</DocSecurity>
  <Lines>34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L</cp:lastModifiedBy>
  <cp:revision>2</cp:revision>
  <dcterms:created xsi:type="dcterms:W3CDTF">2025-11-09T17:55:00Z</dcterms:created>
  <dcterms:modified xsi:type="dcterms:W3CDTF">2025-11-09T17:55:00Z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0x010100FD8B3BB2E549564084FC43B95F401D6F</vt:lpwstr>
  </property>
</Properties>
</file>