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The Constitutional Covenant for Human–AI Systems</w:t>
      </w:r>
    </w:p>
    <w:p>
      <w:r>
        <w:t>A Governance Architecture for Dynamic Boundaries, Structured Trust, and Adaptive Intelligence</w:t>
        <w:br/>
      </w:r>
    </w:p>
    <w:p>
      <w:pPr>
        <w:pStyle w:val="Heading1"/>
      </w:pPr>
      <w:r>
        <w:t>Abstract</w:t>
      </w:r>
    </w:p>
    <w:p>
      <w:r>
        <w:t>This paper presents the Constitutional Covenant Framework, a multidisciplinary governance model for advanced artificial intelligence systems. The framework integrates legal, technical, ethical, and cultural structures into a unified architecture designed to manage the dynamic boundary between human and AI systems. Unlike static governance approaches, this model introduces structured trust metrics, boundary mapping, and formal change governance inspired by construction law. The paper expands on technical implementation pathways, legal enforceability, and ethical considerations, positioning the framework for application in policy, law, and technical systems design.</w:t>
      </w:r>
    </w:p>
    <w:p>
      <w:pPr>
        <w:pStyle w:val="Heading1"/>
      </w:pPr>
      <w:r>
        <w:t>1. Introduction</w:t>
      </w:r>
    </w:p>
    <w:p>
      <w:r>
        <w:t>Artificial intelligence systems are rapidly increasing in capability, creating governance challenges that cannot be addressed through static regulatory or technical models. Traditional approaches assume stable system boundaries and predictable behavior; however, modern AI systems exhibit emergent, probabilistic, and context-sensitive characteristics.</w:t>
        <w:br/>
        <w:br/>
        <w:t>This paper proposes a shift toward adaptive governance through the Constitutional Covenant Framework, which treats the human–AI boundary as dynamic and governed through structured trust and formal change processes.</w:t>
      </w:r>
    </w:p>
    <w:p>
      <w:pPr>
        <w:pStyle w:val="Heading1"/>
      </w:pPr>
      <w:r>
        <w:t>2. Theoretical Framework</w:t>
      </w:r>
    </w:p>
    <w:p>
      <w:r>
        <w:t>The framework is grounded in three principles: dynamic boundaries, structured trust, and dual-layer governance. The boundary between human and AI systems is both objective and subjective, influenced by measurable capability and human interpretation.</w:t>
        <w:br/>
        <w:br/>
        <w:t>Trust is redefined as a measurable property derived from system reliability, transparency, and accountability. Governance is divided into constitutional (enforceable) and covenant (ethical) layers, allowing the system to function across legal and cultural domains.</w:t>
      </w:r>
    </w:p>
    <w:p>
      <w:pPr>
        <w:pStyle w:val="Heading1"/>
      </w:pPr>
      <w:r>
        <w:t>3. System Architecture</w:t>
      </w:r>
    </w:p>
    <w:p>
      <w:r>
        <w:t>The architecture includes Observability, Trust Index, Boundary Map, Policy Engine, Change Governance System, and Audit Layers. These components interact to continuously evaluate system performance, adjust operational boundaries, and enforce governance rules.</w:t>
        <w:br/>
        <w:br/>
        <w:t>The Observability Layer captures real-time system behavior, feeding into the Trust Index, which determines permissible actions. The Boundary Map defines operational limits, while the Policy Engine enforces constraints and triggers review processes when necessary.</w:t>
      </w:r>
    </w:p>
    <w:p>
      <w:pPr>
        <w:pStyle w:val="Heading1"/>
      </w:pPr>
      <w:r>
        <w:t>4. Technical Implementation</w:t>
      </w:r>
    </w:p>
    <w:p>
      <w:r>
        <w:t>Implementation requires modular design. The Trust Index aggregates performance metrics, while the Boundary Map dynamically adjusts system permissions. APIs enable submission of Change Requests and execution of Change Orders.</w:t>
        <w:br/>
        <w:br/>
        <w:t>Advanced implementations may include automated evaluation pipelines, machine learning-based trust scoring, and real-time policy enforcement systems integrated with deployment infrastructure.</w:t>
      </w:r>
    </w:p>
    <w:p>
      <w:pPr>
        <w:pStyle w:val="Heading1"/>
      </w:pPr>
      <w:r>
        <w:t>5. Legal Structure</w:t>
      </w:r>
    </w:p>
    <w:p>
      <w:r>
        <w:t>The framework adopts a construction-law-inspired governance model. Change Requests (CRs) propose modifications, while Change Orders (COs authorize them. This ensures that all system evolution is documented, reviewed, and enforceable.</w:t>
        <w:br/>
        <w:br/>
        <w:t>Legal enforceability depends on institutional adoption, compliance mechanisms, and alignment with existing regulatory frameworks such as the NIST AI RMF and ISO standards.</w:t>
      </w:r>
    </w:p>
    <w:p>
      <w:pPr>
        <w:pStyle w:val="Heading1"/>
      </w:pPr>
      <w:r>
        <w:t>6. Ethical and Cultural Considerations</w:t>
      </w:r>
    </w:p>
    <w:p>
      <w:r>
        <w:t>The Covenant Layer provides ethical guidance, incorporating principles such as human dignity, fairness, and stewardship. This layer allows adaptation to both secular and religious contexts, enabling broader societal acceptance.</w:t>
      </w:r>
    </w:p>
    <w:p>
      <w:pPr>
        <w:pStyle w:val="Heading1"/>
      </w:pPr>
      <w:r>
        <w:t>7. Policy Applications</w:t>
      </w:r>
    </w:p>
    <w:p>
      <w:r>
        <w:t>The framework is suitable for AI policy institutes, regulatory agencies, and private sector governance. It provides a structured method for managing AI evolution while maintaining accountability and trust.</w:t>
      </w:r>
    </w:p>
    <w:p>
      <w:pPr>
        <w:pStyle w:val="Heading1"/>
      </w:pPr>
      <w:r>
        <w:t>8. Limitations</w:t>
      </w:r>
    </w:p>
    <w:p>
      <w:r>
        <w:t>The framework does not solve AI alignment or eliminate risk. It is a governance structure that must operate alongside technical safety measures and regulatory oversight.</w:t>
      </w:r>
    </w:p>
    <w:p>
      <w:pPr>
        <w:pStyle w:val="Heading1"/>
      </w:pPr>
      <w:r>
        <w:t>9. Conclusion</w:t>
      </w:r>
    </w:p>
    <w:p>
      <w:r>
        <w:t>The Constitutional Covenant Framework offers a scalable, adaptive model for AI governance. By integrating dynamic boundaries, structured trust, and formal change processes, it provides a viable path forward for managing advanced AI systems responsibly.</w:t>
      </w:r>
    </w:p>
    <w:p>
      <w:pPr>
        <w:pStyle w:val="Heading1"/>
      </w:pPr>
      <w:r>
        <w:t>References</w:t>
      </w:r>
    </w:p>
    <w:p>
      <w:r>
        <w:t>OECD. (2019). OECD Principles on Artificial Intelligence.</w:t>
        <w:br/>
        <w:t>NIST. (2023). AI Risk Management Framework.</w:t>
        <w:br/>
        <w:t>ISO/IEC. (2022). ISO/IEC 23894: AI Risk Management.</w:t>
        <w:br/>
        <w:t>Floridi, L. (2019). Establishing the rules for building trustworthy AI.</w:t>
        <w:br/>
        <w:t>Russell, S. (2019). Human Compatible: Artificial Intelligence and the Problem of Control.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