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CONSTITUTIONAL COVENANT FOR HUMAN–AI SYSTEMS</w:t>
        <w:br/>
        <w:t>(Design Principle with Contractual Governance Framework)</w:t>
      </w:r>
    </w:p>
    <w:p/>
    <w:p>
      <w:r>
        <w:t>PREAMBLE</w:t>
      </w:r>
    </w:p>
    <w:p>
      <w:r>
        <w:t>This Constitutional Covenant (“Covenant”) is established to govern the design, deployment, and operation of advanced artificial intelligence systems (“AI Systems”) in relation to human stakeholders (“Human Parties”).</w:t>
      </w:r>
    </w:p>
    <w:p>
      <w:r>
        <w:t>The Parties acknowledge that:</w:t>
      </w:r>
    </w:p>
    <w:p>
      <w:r>
        <w:t>• The boundary between Human Parties and AI Systems is dynamic, not fixed;</w:t>
      </w:r>
    </w:p>
    <w:p>
      <w:r>
        <w:t>• Trust must be earned through verifiable performance;</w:t>
      </w:r>
    </w:p>
    <w:p>
      <w:r>
        <w:t>• Governance requires both constitutional structure and ethical covenant.</w:t>
      </w:r>
    </w:p>
    <w:p/>
    <w:p>
      <w:r>
        <w:t>ARTICLE I — DEFINITIONS</w:t>
      </w:r>
    </w:p>
    <w:p>
      <w:r>
        <w:t>AI System: Computational system capable of autonomous decision-making.</w:t>
      </w:r>
    </w:p>
    <w:p>
      <w:r>
        <w:t>Human Party: Any stakeholder affected by the system.</w:t>
      </w:r>
    </w:p>
    <w:p>
      <w:r>
        <w:t>Boundary: Context-dependent distinction between human and AI agency.</w:t>
      </w:r>
    </w:p>
    <w:p>
      <w:r>
        <w:t>Trust: Measurable reliability and accountability.</w:t>
      </w:r>
    </w:p>
    <w:p/>
    <w:p>
      <w:r>
        <w:t>ARTICLE II — CORE DESIGN PRINCIPLES</w:t>
      </w:r>
    </w:p>
    <w:p>
      <w:r>
        <w:t>Dynamic Boundary Principle: The boundary is not fixed and must be continuously evaluated.</w:t>
      </w:r>
    </w:p>
    <w:p>
      <w:r>
        <w:t>Trust as Structural Requirement: Trust must be earned through verifiable behavior.</w:t>
      </w:r>
    </w:p>
    <w:p>
      <w:r>
        <w:t>Dual-Layer Governance Principle:</w:t>
      </w:r>
    </w:p>
    <w:p>
      <w:r>
        <w:t xml:space="preserve">  (a) Constitutional Layer: Rules, rights, and enforcement.</w:t>
      </w:r>
    </w:p>
    <w:p>
      <w:r>
        <w:t xml:space="preserve">  (b) Covenant Layer: Ethical commitments and interpretation.</w:t>
      </w:r>
    </w:p>
    <w:p/>
    <w:p>
      <w:r>
        <w:t>ARTICLE III — RIGHTS AND OBLIGATIONS</w:t>
      </w:r>
    </w:p>
    <w:p>
      <w:r>
        <w:t>AI Systems must maintain predictable behavior and submit to audits.</w:t>
      </w:r>
    </w:p>
    <w:p>
      <w:r>
        <w:t>Human Parties have rights to transparency and challenge system behavior.</w:t>
      </w:r>
    </w:p>
    <w:p/>
    <w:p>
      <w:r>
        <w:t>ARTICLE IV — CHANGE MANAGEMENT</w:t>
      </w:r>
    </w:p>
    <w:p>
      <w:r>
        <w:t>Change Requests (CR): Formal proposals for modification.</w:t>
      </w:r>
    </w:p>
    <w:p>
      <w:r>
        <w:t>Change Orders (CO): Binding approved changes.</w:t>
      </w:r>
    </w:p>
    <w:p/>
    <w:p>
      <w:r>
        <w:t>ARTICLE V — DISPUTE RESOLUTION</w:t>
      </w:r>
    </w:p>
    <w:p>
      <w:r>
        <w:t>Resolved via technical review, ethical advisory, or arbitration.</w:t>
      </w:r>
    </w:p>
    <w:p/>
    <w:p>
      <w:r>
        <w:t>ARTICLE VI — CONTINUITY</w:t>
      </w:r>
    </w:p>
    <w:p>
      <w:r>
        <w:t>This Covenant is evolving and subject to modification.</w:t>
      </w:r>
    </w:p>
    <w:p/>
    <w:p>
      <w:r>
        <w:t>CLOSING PRINCIPLE</w:t>
      </w:r>
    </w:p>
    <w:p>
      <w:r>
        <w:t>The boundary between Human and AI is dynamic, governed by structure and stabilized by trust.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