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Constitutional Covenant AI System</w:t>
        <w:br/>
        <w:t>Architecture Overview and Technical Explanation</w:t>
      </w:r>
    </w:p>
    <w:p/>
    <w:p>
      <w:r>
        <w:rPr>
          <w:b/>
        </w:rPr>
        <w:t>Abstract</w:t>
      </w:r>
    </w:p>
    <w:p>
      <w:r>
        <w:t>This document provides a comprehensive explanation of the Constitutional Covenant AI System architecture, a governance framework for adaptive artificial intelligence systems. The architecture integrates technical, legal, ethical, and cultural layers to manage the dynamic boundary between human and AI systems through structured trust and formal change control mechanisms.</w:t>
      </w:r>
    </w:p>
    <w:p>
      <w:r>
        <w:rPr>
          <w:b/>
        </w:rPr>
        <w:t>1. Introduction</w:t>
      </w:r>
    </w:p>
    <w:p>
      <w:r>
        <w:t>The Constitutional Covenant AI System is designed to address the evolving relationship between humans and AI. It recognizes that the boundary between human and AI is not fixed, but dynamic and dependent on perspective, capability, and trust. The system introduces a structured governance model inspired by legal and contractual frameworks.</w:t>
      </w:r>
    </w:p>
    <w:p>
      <w:r>
        <w:rPr>
          <w:b/>
        </w:rPr>
        <w:t>2. Core Principles</w:t>
      </w:r>
    </w:p>
    <w:p>
      <w:r>
        <w:t>• Dynamic Boundary: The human–AI boundary shifts based on context and capability.</w:t>
        <w:br/>
        <w:t>• Structured Trust: Trust is measurable and must be earned.</w:t>
        <w:br/>
        <w:t>• Constitutional Covenant: Governance is enforced through legal-like structures and ethical commitments.</w:t>
        <w:br/>
        <w:t>• Change Governance: System evolution is managed via formal Change Requests (CR) and Change Orders (CO).</w:t>
      </w:r>
    </w:p>
    <w:p>
      <w:r>
        <w:rPr>
          <w:b/>
        </w:rPr>
        <w:t>3. System Architecture</w:t>
      </w:r>
    </w:p>
    <w:p>
      <w:r>
        <w:t>The architecture consists of multiple interconnected components:</w:t>
        <w:br/>
        <w:t>- Human Oversight Interface</w:t>
        <w:br/>
        <w:t>- AI System Core</w:t>
        <w:br/>
        <w:t>- Observability Layer</w:t>
        <w:br/>
        <w:t>- Trust Index</w:t>
        <w:br/>
        <w:t>- Boundary Map</w:t>
        <w:br/>
        <w:t>- Policy Engine</w:t>
        <w:br/>
        <w:t>- Review Authority</w:t>
        <w:br/>
        <w:t>- Change Request/Change Order System</w:t>
        <w:br/>
        <w:t>- Change Ledger</w:t>
        <w:br/>
        <w:t>- Audit Systems</w:t>
      </w:r>
    </w:p>
    <w:p>
      <w:r>
        <w:rPr>
          <w:b/>
        </w:rPr>
        <w:t>4. Component Descriptions</w:t>
      </w:r>
    </w:p>
    <w:p>
      <w:r>
        <w:t>Human Oversight Interface: Captures stakeholder input and feedback.</w:t>
        <w:br/>
        <w:t>Observability Layer: Logs system actions and performance metrics.</w:t>
        <w:br/>
        <w:t>Trust Index: Quantifies system reliability and alignment.</w:t>
        <w:br/>
        <w:t>Boundary Map: Defines current operational limits of AI.</w:t>
        <w:br/>
        <w:t>Policy Engine: Enforces governance rules.</w:t>
        <w:br/>
        <w:t>Review Authority: Evaluates high-impact decisions.</w:t>
        <w:br/>
        <w:t>Change System: Manages structured updates.</w:t>
        <w:br/>
        <w:t>Ledger: Maintains immutable records.</w:t>
        <w:br/>
        <w:t>Audit Systems: Ensure compliance and accountability.</w:t>
      </w:r>
    </w:p>
    <w:p>
      <w:r>
        <w:rPr>
          <w:b/>
        </w:rPr>
        <w:t>5. Change Management Framework</w:t>
      </w:r>
    </w:p>
    <w:p>
      <w:r>
        <w:t>The system employs a construction-style governance model:</w:t>
        <w:br/>
        <w:t>- Change Requests (CR) propose modifications.</w:t>
        <w:br/>
        <w:t>- Review processes evaluate impact and alignment.</w:t>
        <w:br/>
        <w:t>- Change Orders (CO) authorize and implement changes.</w:t>
        <w:br/>
        <w:t>- All changes are recorded in a ledger for auditability.</w:t>
      </w:r>
    </w:p>
    <w:p>
      <w:r>
        <w:rPr>
          <w:b/>
        </w:rPr>
        <w:t>6. Trust and Boundary Dynamics</w:t>
      </w:r>
    </w:p>
    <w:p>
      <w:r>
        <w:t>Trust is computed through measurable indicators such as reliability, transparency, and incident history. The Boundary Map evolves as trust changes, enabling or restricting system capabilities dynamically.</w:t>
      </w:r>
    </w:p>
    <w:p>
      <w:r>
        <w:rPr>
          <w:b/>
        </w:rPr>
        <w:t>7. Governance Layers</w:t>
      </w:r>
    </w:p>
    <w:p>
      <w:r>
        <w:t>Technical Layer: Implements system functionality and monitoring.</w:t>
        <w:br/>
        <w:t>Constitutional Layer: Defines enforceable rules and accountability.</w:t>
        <w:br/>
        <w:t>Covenant Layer: Provides ethical and cultural guidance.</w:t>
      </w:r>
    </w:p>
    <w:p>
      <w:r>
        <w:rPr>
          <w:b/>
        </w:rPr>
        <w:t>8. References</w:t>
      </w:r>
    </w:p>
    <w:p>
      <w:r>
        <w:t>- AI Governance Literature (OECD AI Principles)</w:t>
        <w:br/>
        <w:t>- NIST AI Risk Management Framework</w:t>
        <w:br/>
        <w:t>- ISO/IEC 23894: AI Risk Management</w:t>
        <w:br/>
        <w:t>- Software Engineering Change Management Practices</w:t>
        <w:br/>
        <w:t>- Legal Contract Structures in Construction Law</w:t>
        <w:br/>
        <w:t>- Human-Centered AI Design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