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Constitutional Covenant AI System</w:t>
        <w:br/>
        <w:t>Comprehensive Architecture, Legal Framework, and Technical Specification</w:t>
      </w:r>
    </w:p>
    <w:p/>
    <w:p>
      <w:r>
        <w:rPr>
          <w:b/>
        </w:rPr>
        <w:t>Abstract</w:t>
      </w:r>
    </w:p>
    <w:p>
      <w:r>
        <w:t>This document presents a unified legal, technical, and philosophical framework for governing adaptive AI systems. It integrates system architecture, contractual governance, ethical covenant principles, and formal change control mechanisms into a single operational model.</w:t>
      </w:r>
    </w:p>
    <w:p>
      <w:r>
        <w:rPr>
          <w:b/>
        </w:rPr>
        <w:t>I. Introduction</w:t>
      </w:r>
    </w:p>
    <w:p>
      <w:r>
        <w:t>The emergence of advanced AI systems necessitates governance models that are adaptive, enforceable, and ethically grounded. This paper proposes a Constitutional Covenant model that combines legal structure with technical implementation.</w:t>
      </w:r>
    </w:p>
    <w:p>
      <w:r>
        <w:rPr>
          <w:b/>
        </w:rPr>
        <w:t>II. Core Principle</w:t>
      </w:r>
    </w:p>
    <w:p>
      <w:r>
        <w:t>The boundary between Human and AI is neither illusion nor fixed barrier. It is a moving condition shaped by perspective, governed by structure, and stabilized by trust.</w:t>
      </w:r>
    </w:p>
    <w:p>
      <w:r>
        <w:rPr>
          <w:b/>
        </w:rPr>
        <w:t>III. System Architecture Overview</w:t>
      </w:r>
    </w:p>
    <w:p>
      <w:r>
        <w:t>The system is composed of layered components including Observability, Trust Index, Boundary Mapping, Policy Engine, and Change Governance.</w:t>
      </w:r>
    </w:p>
    <w:p>
      <w:r>
        <w:rPr>
          <w:b/>
        </w:rPr>
        <w:t>IV. Architecture Diagram (Text Representation)</w:t>
      </w:r>
    </w:p>
    <w:p>
      <w:r>
        <w:t>Human → Oversight Interface → Change Requests → Review Authority → Change Orders → Policy Engine → AI System → Observability → Trust Index / Boundary Map → back to Policy Engine.</w:t>
      </w:r>
    </w:p>
    <w:p>
      <w:r>
        <w:rPr>
          <w:b/>
        </w:rPr>
        <w:t>V. Technical Specification</w:t>
      </w:r>
    </w:p>
    <w:p>
      <w:r>
        <w:t>Key modules include Trust Index, Boundary Map, Policy Engine, and Change Ledger. These modules enforce constraints, monitor system behavior, and govern adaptive changes.</w:t>
      </w:r>
    </w:p>
    <w:p>
      <w:r>
        <w:rPr>
          <w:b/>
        </w:rPr>
        <w:t>VI. Legal and Contractual Structure</w:t>
      </w:r>
    </w:p>
    <w:p>
      <w:r>
        <w:t>The system operates under a construction-law inspired model using Change Requests (CR) and Change Orders (CO) to formalize system evolution. All changes are binding once approved and logged.</w:t>
      </w:r>
    </w:p>
    <w:p>
      <w:r>
        <w:rPr>
          <w:b/>
        </w:rPr>
        <w:t>VII. Change Management Framework</w:t>
      </w:r>
    </w:p>
    <w:p>
      <w:r>
        <w:t>All system modifications must follow structured workflows: submission, review, approval, implementation, and audit.</w:t>
      </w:r>
    </w:p>
    <w:p>
      <w:r>
        <w:rPr>
          <w:b/>
        </w:rPr>
        <w:t>VIII. Covenant Layer</w:t>
      </w:r>
    </w:p>
    <w:p>
      <w:r>
        <w:t>Ethical principles include human dignity, stewardship, fairness, and responsibility. These principles guide interpretation of technical and legal rules.</w:t>
      </w:r>
    </w:p>
    <w:p>
      <w:r>
        <w:rPr>
          <w:b/>
        </w:rPr>
        <w:t>IX. References (APA Style)</w:t>
      </w:r>
    </w:p>
    <w:p>
      <w:r>
        <w:t>OECD. (2019). OECD Principles on Artificial Intelligence.</w:t>
      </w:r>
    </w:p>
    <w:p>
      <w:r>
        <w:t>National Institute of Standards and Technology. (2023). AI Risk Management Framework.</w:t>
      </w:r>
    </w:p>
    <w:p>
      <w:r>
        <w:t>ISO/IEC. (2022). ISO/IEC 23894: AI Risk Management.</w:t>
      </w:r>
    </w:p>
    <w:p>
      <w:r>
        <w:rPr>
          <w:b/>
        </w:rPr>
        <w:t>X. Legal References (Bluebook Style)</w:t>
      </w:r>
    </w:p>
    <w:p>
      <w:r>
        <w:t>NIST, AI Risk Mgmt. Framework (2023).</w:t>
      </w:r>
    </w:p>
    <w:p>
      <w:r>
        <w:t>OECD, Principles on Artificial Intelligence (2019).</w:t>
      </w:r>
    </w:p>
    <w:p>
      <w:r>
        <w:rPr>
          <w:b/>
        </w:rPr>
        <w:t>XI. Conclusion</w:t>
      </w:r>
    </w:p>
    <w:p>
      <w:r>
        <w:t>This framework provides a unified model for governing AI systems through structured trust, dynamic boundaries, and enforceable change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