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Commercialization Strategy</w:t>
      </w:r>
    </w:p>
    <w:p>
      <w:pPr>
        <w:pStyle w:val="Heading2"/>
      </w:pPr>
      <w:r>
        <w:t>Company</w:t>
      </w:r>
    </w:p>
    <w:p>
      <w:r>
        <w:t>Pacific Sodium Technologies</w:t>
      </w:r>
    </w:p>
    <w:p>
      <w:pPr>
        <w:pStyle w:val="Heading2"/>
      </w:pPr>
      <w:r>
        <w:t>Project</w:t>
      </w:r>
    </w:p>
    <w:p>
      <w:r>
        <w:t>Scalable Sodium-Ion Battery Systems Using Domestic Resources Near the Salton Sea</w:t>
      </w:r>
    </w:p>
    <w:p>
      <w:pPr>
        <w:pStyle w:val="Heading2"/>
      </w:pPr>
      <w:r>
        <w:t>1. Value Proposition</w:t>
      </w:r>
    </w:p>
    <w:p>
      <w:r>
        <w:t>Lithium-ion batteries dominate the market, but face rising raw material costs, supply chain risks, and limited scalability. Our sodium-ion system uses U.S.-sourced materials (Salton Sea), offers comparable performance, and cuts costs by 25–40%, targeting grid storage, solar, telecom backup, and logistics.</w:t>
      </w:r>
    </w:p>
    <w:p>
      <w:pPr>
        <w:pStyle w:val="Heading2"/>
      </w:pPr>
      <w:r>
        <w:t>2. Target Markets</w:t>
      </w:r>
    </w:p>
    <w:p>
      <w:r>
        <w:t>Stationary Storage ($100B by 2030), Residential Solar ($35B by 2028), Industrial Backup ($20B by 2026), Mobility ($18B by 2027). Entry via Phase II demos with utilities and solar integrators.</w:t>
      </w:r>
    </w:p>
    <w:p>
      <w:pPr>
        <w:pStyle w:val="Heading2"/>
      </w:pPr>
      <w:r>
        <w:t>3. Competitive Advantage</w:t>
      </w:r>
    </w:p>
    <w:p>
      <w:r>
        <w:t>Our tech enables lower cost, U.S.-based sodium sourcing, better thermal stability, and unique electrolyte-cathode pairing. Projected cost per kWh: $80–100 vs. $120–150 (Li-ion).</w:t>
      </w:r>
    </w:p>
    <w:p>
      <w:pPr>
        <w:pStyle w:val="Heading2"/>
      </w:pPr>
      <w:r>
        <w:t>4. IP Strategy</w:t>
      </w:r>
    </w:p>
    <w:p>
      <w:r>
        <w:t>Provisional patent filed for our electrolyte and cathode synthesis method. Coverage includes solvent ratios, Na-ion carrier combinations, and cathode from geothermal waste.</w:t>
      </w:r>
    </w:p>
    <w:p>
      <w:pPr>
        <w:pStyle w:val="Heading2"/>
      </w:pPr>
      <w:r>
        <w:t>5. Go-to-Market Strategy</w:t>
      </w:r>
    </w:p>
    <w:p>
      <w:r>
        <w:t>Phase I: Validate prototype and cost. Phase II: Scale pouch cell, pursue JDAs. Post-Phase II: First sales in backup power; license IP or co-manufacture with utility partners.</w:t>
      </w:r>
    </w:p>
    <w:p>
      <w:pPr>
        <w:pStyle w:val="Heading2"/>
      </w:pPr>
      <w:r>
        <w:t>6. Revenue Model</w:t>
      </w:r>
    </w:p>
    <w:p>
      <w:r>
        <w:t>Direct sales, OEM licensing, royalties, and federal/state contracts. Dual channel strategy aligned with infrastructure and clean energy funding.</w:t>
      </w:r>
    </w:p>
    <w:p>
      <w:pPr>
        <w:pStyle w:val="Heading2"/>
      </w:pPr>
      <w:r>
        <w:t>7. Commercial Partnerships</w:t>
      </w:r>
    </w:p>
    <w:p>
      <w:r>
        <w:t>Planned: UC Riverside (testbed), SoCal Edison (resilience), ARPA-E, CalSEED, Fluence. Industry alignment ongoing.</w:t>
      </w:r>
    </w:p>
    <w:p>
      <w:pPr>
        <w:pStyle w:val="Heading2"/>
      </w:pPr>
      <w:r>
        <w:t>8. Risk Factors &amp; Mitigation</w:t>
      </w:r>
    </w:p>
    <w:p>
      <w:r>
        <w:t>Adoption lag → start with low-demand niches. Supply risk → dual-source. Price war → emphasize fire safety, U.S. origin. Scale risk → Phase II + federal grants.</w:t>
      </w:r>
    </w:p>
    <w:p>
      <w:pPr>
        <w:pStyle w:val="Heading2"/>
      </w:pPr>
      <w:r>
        <w:t>9. Exit Strategy</w:t>
      </w:r>
    </w:p>
    <w:p>
      <w:r>
        <w:t>Acquisition by battery OEM (e.g., LG, CATL), or strategic utility partner. IPO possible after Phase III pilot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