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SBIR Phase I Budget Estimate</w:t>
      </w:r>
    </w:p>
    <w:p>
      <w:r>
        <w:t>Company: Pacific Sodium Technologies</w:t>
      </w:r>
    </w:p>
    <w:p>
      <w:r>
        <w:t>Project Title: Scalable Sodium-Ion Battery Systems Using Domestic Resources Near the Salton Sea</w:t>
      </w:r>
    </w:p>
    <w:p>
      <w:r>
        <w:t>Duration: 6 Months</w:t>
      </w:r>
    </w:p>
    <w:p>
      <w:r>
        <w:t>Total Budget Requested: $274,750</w:t>
      </w:r>
    </w:p>
    <w:p/>
    <w:p>
      <w:pPr>
        <w:pStyle w:val="Heading2"/>
      </w:pPr>
      <w:r>
        <w:t>1. Direct Labor: $90,000</w:t>
      </w:r>
    </w:p>
    <w:p>
      <w:r>
        <w:t>• Principal Investigator (Adam Sanchez): $12,000/month × 6 months = $72,000</w:t>
      </w:r>
    </w:p>
    <w:p>
      <w:r>
        <w:t>• Lab Technician (Part-time): $3,000/month × 6 months = $18,000</w:t>
      </w:r>
    </w:p>
    <w:p>
      <w:pPr>
        <w:pStyle w:val="Heading2"/>
      </w:pPr>
      <w:r>
        <w:t>2. Fringe Benefits: $18,000</w:t>
      </w:r>
    </w:p>
    <w:p>
      <w:r>
        <w:t>• 20% of Direct Labor = $90,000 × 0.20 = $18,000</w:t>
      </w:r>
    </w:p>
    <w:p>
      <w:pPr>
        <w:pStyle w:val="Heading2"/>
      </w:pPr>
      <w:r>
        <w:t>3. Equipment: $0</w:t>
      </w:r>
    </w:p>
    <w:p>
      <w:r>
        <w:t>• No equipment over $5,000. All tools will be leased or are currently owned.</w:t>
      </w:r>
    </w:p>
    <w:p>
      <w:pPr>
        <w:pStyle w:val="Heading2"/>
      </w:pPr>
      <w:r>
        <w:t>4. Materials &amp; Supplies: $32,000</w:t>
      </w:r>
    </w:p>
    <w:p>
      <w:r>
        <w:t>• Sodium precursors &amp; carbon sources: $7,000</w:t>
      </w:r>
    </w:p>
    <w:p>
      <w:r>
        <w:t>• Electrolyte solvents/salts (NaPF6, EC:DEC, etc.): $6,000</w:t>
      </w:r>
    </w:p>
    <w:p>
      <w:r>
        <w:t>• CR2032 coin cell kits (cases, spacers, gaskets): $4,000</w:t>
      </w:r>
    </w:p>
    <w:p>
      <w:r>
        <w:t>• Inert gas refills (Argon, Nitrogen): $2,000</w:t>
      </w:r>
    </w:p>
    <w:p>
      <w:r>
        <w:t>• Lab consumables (gloves, vials, pouches, PPE): $3,000</w:t>
      </w:r>
    </w:p>
    <w:p>
      <w:r>
        <w:t>• XRD/SEM outsourcing: $10,000</w:t>
      </w:r>
    </w:p>
    <w:p>
      <w:pPr>
        <w:pStyle w:val="Heading2"/>
      </w:pPr>
      <w:r>
        <w:t>5. Consultant Services: $18,000</w:t>
      </w:r>
    </w:p>
    <w:p>
      <w:r>
        <w:t>• Electrochemist Consultant: $150/hr × 40 hrs = $6,000</w:t>
      </w:r>
    </w:p>
    <w:p>
      <w:r>
        <w:t>• Commercialization Advisor: $150/hr × 80 hrs = $12,000</w:t>
      </w:r>
    </w:p>
    <w:p>
      <w:pPr>
        <w:pStyle w:val="Heading2"/>
      </w:pPr>
      <w:r>
        <w:t>6. Subcontracts: $30,000</w:t>
      </w:r>
    </w:p>
    <w:p>
      <w:r>
        <w:t>• University Lab Access for glovebox, spectroscopy, and verification testing.</w:t>
      </w:r>
    </w:p>
    <w:p>
      <w:pPr>
        <w:pStyle w:val="Heading2"/>
      </w:pPr>
      <w:r>
        <w:t>7. Other Direct Costs: $6,500</w:t>
      </w:r>
    </w:p>
    <w:p>
      <w:r>
        <w:t>• Software (DFT simulations, COMSOL): $3,000</w:t>
      </w:r>
    </w:p>
    <w:p>
      <w:r>
        <w:t>• Travel (NSF PI Meeting / DOE Battery Summit): $2,500</w:t>
      </w:r>
    </w:p>
    <w:p>
      <w:r>
        <w:t>• Publication Fees: $1,000</w:t>
      </w:r>
    </w:p>
    <w:p>
      <w:pPr>
        <w:pStyle w:val="Heading2"/>
      </w:pPr>
      <w:r>
        <w:t>8. Indirect Costs (Overhead): $60,000</w:t>
      </w:r>
    </w:p>
    <w:p>
      <w:r>
        <w:t>• 25% of direct costs ($240,500 × 0.25) ≈ $60,000</w:t>
      </w:r>
    </w:p>
    <w:p>
      <w:pPr>
        <w:pStyle w:val="Heading2"/>
      </w:pPr>
      <w:r>
        <w:t>9. Total Requested from NSF: $274,750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