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of Funds Statement</w:t>
      </w:r>
    </w:p>
    <w:p>
      <w:r>
        <w:t>Summary of Funds Allocation: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Direct Labor</w:t>
            </w:r>
          </w:p>
        </w:tc>
        <w:tc>
          <w:tcPr>
            <w:tcW w:type="dxa" w:w="2880"/>
          </w:tcPr>
          <w:p>
            <w:r>
              <w:t>$90,000</w:t>
            </w:r>
          </w:p>
        </w:tc>
        <w:tc>
          <w:tcPr>
            <w:tcW w:type="dxa" w:w="2880"/>
          </w:tcPr>
          <w:p>
            <w:r>
              <w:t>R&amp;D efforts led by PI and lab technician</w:t>
            </w:r>
          </w:p>
        </w:tc>
      </w:tr>
      <w:tr>
        <w:tc>
          <w:tcPr>
            <w:tcW w:type="dxa" w:w="2880"/>
          </w:tcPr>
          <w:p>
            <w:r>
              <w:t>Fringe Benefits</w:t>
            </w:r>
          </w:p>
        </w:tc>
        <w:tc>
          <w:tcPr>
            <w:tcW w:type="dxa" w:w="2880"/>
          </w:tcPr>
          <w:p>
            <w:r>
              <w:t>$18,000</w:t>
            </w:r>
          </w:p>
        </w:tc>
        <w:tc>
          <w:tcPr>
            <w:tcW w:type="dxa" w:w="2880"/>
          </w:tcPr>
          <w:p>
            <w:r>
              <w:t>Health insurance, taxes, workers comp</w:t>
            </w:r>
          </w:p>
        </w:tc>
      </w:tr>
      <w:tr>
        <w:tc>
          <w:tcPr>
            <w:tcW w:type="dxa" w:w="2880"/>
          </w:tcPr>
          <w:p>
            <w:r>
              <w:t>Materials &amp; Supplies</w:t>
            </w:r>
          </w:p>
        </w:tc>
        <w:tc>
          <w:tcPr>
            <w:tcW w:type="dxa" w:w="2880"/>
          </w:tcPr>
          <w:p>
            <w:r>
              <w:t>$32,000</w:t>
            </w:r>
          </w:p>
        </w:tc>
        <w:tc>
          <w:tcPr>
            <w:tcW w:type="dxa" w:w="2880"/>
          </w:tcPr>
          <w:p>
            <w:r>
              <w:t>Battery chemicals, coin cell kits, SEM/XRD</w:t>
            </w:r>
          </w:p>
        </w:tc>
      </w:tr>
      <w:tr>
        <w:tc>
          <w:tcPr>
            <w:tcW w:type="dxa" w:w="2880"/>
          </w:tcPr>
          <w:p>
            <w:r>
              <w:t>Consultants</w:t>
            </w:r>
          </w:p>
        </w:tc>
        <w:tc>
          <w:tcPr>
            <w:tcW w:type="dxa" w:w="2880"/>
          </w:tcPr>
          <w:p>
            <w:r>
              <w:t>$18,000</w:t>
            </w:r>
          </w:p>
        </w:tc>
        <w:tc>
          <w:tcPr>
            <w:tcW w:type="dxa" w:w="2880"/>
          </w:tcPr>
          <w:p>
            <w:r>
              <w:t>Electrochemist &amp; commercialization advisor</w:t>
            </w:r>
          </w:p>
        </w:tc>
      </w:tr>
      <w:tr>
        <w:tc>
          <w:tcPr>
            <w:tcW w:type="dxa" w:w="2880"/>
          </w:tcPr>
          <w:p>
            <w:r>
              <w:t>Subcontracts</w:t>
            </w:r>
          </w:p>
        </w:tc>
        <w:tc>
          <w:tcPr>
            <w:tcW w:type="dxa" w:w="2880"/>
          </w:tcPr>
          <w:p>
            <w:r>
              <w:t>$30,000</w:t>
            </w:r>
          </w:p>
        </w:tc>
        <w:tc>
          <w:tcPr>
            <w:tcW w:type="dxa" w:w="2880"/>
          </w:tcPr>
          <w:p>
            <w:r>
              <w:t>UC Riverside lab access &amp; testing</w:t>
            </w:r>
          </w:p>
        </w:tc>
      </w:tr>
      <w:tr>
        <w:tc>
          <w:tcPr>
            <w:tcW w:type="dxa" w:w="2880"/>
          </w:tcPr>
          <w:p>
            <w:r>
              <w:t>Other Direct Costs</w:t>
            </w:r>
          </w:p>
        </w:tc>
        <w:tc>
          <w:tcPr>
            <w:tcW w:type="dxa" w:w="2880"/>
          </w:tcPr>
          <w:p>
            <w:r>
              <w:t>$6,500</w:t>
            </w:r>
          </w:p>
        </w:tc>
        <w:tc>
          <w:tcPr>
            <w:tcW w:type="dxa" w:w="2880"/>
          </w:tcPr>
          <w:p>
            <w:r>
              <w:t>Software, travel, publishing</w:t>
            </w:r>
          </w:p>
        </w:tc>
      </w:tr>
      <w:tr>
        <w:tc>
          <w:tcPr>
            <w:tcW w:type="dxa" w:w="2880"/>
          </w:tcPr>
          <w:p>
            <w:r>
              <w:t>Indirect Costs</w:t>
            </w:r>
          </w:p>
        </w:tc>
        <w:tc>
          <w:tcPr>
            <w:tcW w:type="dxa" w:w="2880"/>
          </w:tcPr>
          <w:p>
            <w:r>
              <w:t>$60,000</w:t>
            </w:r>
          </w:p>
        </w:tc>
        <w:tc>
          <w:tcPr>
            <w:tcW w:type="dxa" w:w="2880"/>
          </w:tcPr>
          <w:p>
            <w:r>
              <w:t>Admin, utilities, compliance costs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$274,750</w:t>
            </w:r>
          </w:p>
        </w:tc>
        <w:tc>
          <w:tcPr>
            <w:tcW w:type="dxa" w:w="2880"/>
          </w:tcPr>
          <w:p>
            <w:r>
              <w:t>Full 6-month Phase I scope</w:t>
            </w:r>
          </w:p>
        </w:tc>
      </w:tr>
    </w:tbl>
    <w:p/>
    <w:p>
      <w:pPr>
        <w:pStyle w:val="Heading2"/>
      </w:pPr>
      <w:r>
        <w:t>Strategic Rationale</w:t>
      </w:r>
    </w:p>
    <w:p>
      <w:r>
        <w:t>85% of funds are directly tied to technical execution and validation of sodium-ion battery prototypes. Funds are prioritized for lab-scale demonstration, cycle life testing, and tech-to-market analysis, which directly enable a Phase II scale-up request. No funds are allocated for marketing, sales, or unrelated administrative overhead.</w:t>
      </w:r>
    </w:p>
    <w:p>
      <w:pPr>
        <w:pStyle w:val="Heading1"/>
      </w:pPr>
      <w:r>
        <w:t>Letters of Support</w:t>
      </w:r>
    </w:p>
    <w:p>
      <w:r>
        <w:t>Letters of support strengthen the proposal by demonstrating external interest in the technology. Recommended support sources include:</w:t>
      </w:r>
    </w:p>
    <w:p>
      <w:r>
        <w:t>- Utility Partner – e.g., Southern California Edison (confirms interest in grid storage pilots)</w:t>
      </w:r>
    </w:p>
    <w:p>
      <w:r>
        <w:t>- University Lab – e.g., UC Riverside Bourns College (verifies lab access)</w:t>
      </w:r>
    </w:p>
    <w:p>
      <w:r>
        <w:t>- Industry Expert – e.g., battery researcher or DOE reviewer (confirms technical credibility)</w:t>
      </w:r>
    </w:p>
    <w:p>
      <w:pPr>
        <w:pStyle w:val="Heading2"/>
      </w:pPr>
      <w:r>
        <w:t>Sample Letter Request Email</w:t>
      </w:r>
    </w:p>
    <w:p>
      <w:r>
        <w:t>Subject: Request for Letter of Support – NSF SBIR Proposal (Pacific Sodium Technologies)</w:t>
        <w:br/>
        <w:br/>
        <w:t>Dear [Name],</w:t>
        <w:br/>
        <w:br/>
        <w:t>We are submitting a Phase I SBIR proposal to the National Science Foundation to develop scalable sodium-ion battery prototypes using Salton Sea-based sodium. Your support would be invaluable to demonstrate market alignment and technical viability. Would you be willing to provide a brief letter of support?</w:t>
        <w:br/>
        <w:br/>
        <w:t>We can provide a draft for your convenience.</w:t>
        <w:br/>
        <w:br/>
        <w:t>Best,</w:t>
        <w:br/>
        <w:t>Adam Sanchez</w:t>
        <w:br/>
        <w:t>Pacific Sodium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