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Dokumen Analisis Baseline Early Stop 0 g</w:t>
      </w:r>
    </w:p>
    <w:p>
      <w:pPr>
        <w:jc w:val="center"/>
      </w:pPr>
      <w:r>
        <w:rPr>
          <w:rFonts w:ascii="Times New Roman" w:hAnsi="Times New Roman" w:eastAsia="Times New Roman"/>
          <w:i/>
          <w:sz w:val="24"/>
        </w:rPr>
        <w:t>Sebagai Dasar Metodologis Pemilihan Margin Early Stop Final</w:t>
      </w:r>
    </w:p>
    <w:p>
      <w:pPr>
        <w:jc w:val="center"/>
      </w:pPr>
      <w:r>
        <w:rPr>
          <w:rFonts w:ascii="Times New Roman" w:hAnsi="Times New Roman" w:eastAsia="Times New Roman"/>
          <w:sz w:val="22"/>
        </w:rPr>
        <w:t>Penelitian Sistem Penakaran Pakan Kucing Otomatis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33"/>
        <w:gridCol w:w="4933"/>
      </w:tblGrid>
      <w:tr>
        <w:tc>
          <w:tcPr>
            <w:tcW w:type="dxa" w:w="4933"/>
            <w:vAlign w:val="center"/>
            <w:shd w:fill="1F4E79"/>
          </w:tcPr>
          <w:p>
            <w:pPr>
              <w:jc w:val="center"/>
            </w:pPr>
            <w:r/>
            <w:r>
              <w:rPr>
                <w:b/>
                <w:color w:val="FFFFFF"/>
                <w:sz w:val="18"/>
              </w:rPr>
              <w:t>Item</w:t>
            </w:r>
          </w:p>
        </w:tc>
        <w:tc>
          <w:tcPr>
            <w:tcW w:type="dxa" w:w="4933"/>
            <w:vAlign w:val="center"/>
            <w:shd w:fill="1F4E79"/>
          </w:tcPr>
          <w:p>
            <w:pPr>
              <w:jc w:val="center"/>
            </w:pPr>
            <w:r/>
            <w:r>
              <w:rPr>
                <w:b/>
                <w:color w:val="FFFFFF"/>
                <w:sz w:val="18"/>
              </w:rPr>
              <w:t>Keterangan</w:t>
            </w:r>
          </w:p>
        </w:tc>
      </w:tr>
      <w:tr>
        <w:tc>
          <w:tcPr>
            <w:tcW w:type="dxa" w:w="4933"/>
            <w:vAlign w:val="center"/>
          </w:tcPr>
          <w:p>
            <w:pPr>
              <w:jc w:val="center"/>
            </w:pPr>
            <w:r/>
            <w:r>
              <w:rPr>
                <w:b w:val="0"/>
                <w:sz w:val="18"/>
              </w:rPr>
              <w:t>Posisi dokumen</w:t>
            </w:r>
          </w:p>
        </w:tc>
        <w:tc>
          <w:tcPr>
            <w:tcW w:type="dxa" w:w="4933"/>
            <w:vAlign w:val="center"/>
          </w:tcPr>
          <w:p>
            <w:pPr>
              <w:jc w:val="center"/>
            </w:pPr>
            <w:r/>
            <w:r>
              <w:rPr>
                <w:b w:val="0"/>
                <w:sz w:val="18"/>
              </w:rPr>
              <w:t>Baseline / uji sensitivitas, bukan dokumen pemilihan ES final</w:t>
            </w:r>
          </w:p>
        </w:tc>
      </w:tr>
      <w:tr>
        <w:tc>
          <w:tcPr>
            <w:tcW w:type="dxa" w:w="4933"/>
            <w:vAlign w:val="center"/>
          </w:tcPr>
          <w:p>
            <w:pPr>
              <w:jc w:val="center"/>
            </w:pPr>
            <w:r/>
            <w:r>
              <w:rPr>
                <w:b w:val="0"/>
                <w:sz w:val="18"/>
              </w:rPr>
              <w:t>Early Stop yang dianalisis</w:t>
            </w:r>
          </w:p>
        </w:tc>
        <w:tc>
          <w:tcPr>
            <w:tcW w:type="dxa" w:w="4933"/>
            <w:vAlign w:val="center"/>
          </w:tcPr>
          <w:p>
            <w:pPr>
              <w:jc w:val="center"/>
            </w:pPr>
            <w:r/>
            <w:r>
              <w:rPr>
                <w:b w:val="0"/>
                <w:sz w:val="18"/>
              </w:rPr>
              <w:t>0 g</w:t>
            </w:r>
          </w:p>
        </w:tc>
      </w:tr>
      <w:tr>
        <w:tc>
          <w:tcPr>
            <w:tcW w:type="dxa" w:w="4933"/>
            <w:vAlign w:val="center"/>
          </w:tcPr>
          <w:p>
            <w:pPr>
              <w:jc w:val="center"/>
            </w:pPr>
            <w:r/>
            <w:r>
              <w:rPr>
                <w:b w:val="0"/>
                <w:sz w:val="18"/>
              </w:rPr>
              <w:t>Controller</w:t>
            </w:r>
          </w:p>
        </w:tc>
        <w:tc>
          <w:tcPr>
            <w:tcW w:type="dxa" w:w="4933"/>
            <w:vAlign w:val="center"/>
          </w:tcPr>
          <w:p>
            <w:pPr>
              <w:jc w:val="center"/>
            </w:pPr>
            <w:r/>
            <w:r>
              <w:rPr>
                <w:b w:val="0"/>
                <w:sz w:val="18"/>
              </w:rPr>
              <w:t>Fixed PID dan Gain Scheduling PID</w:t>
            </w:r>
          </w:p>
        </w:tc>
      </w:tr>
      <w:tr>
        <w:tc>
          <w:tcPr>
            <w:tcW w:type="dxa" w:w="4933"/>
            <w:vAlign w:val="center"/>
          </w:tcPr>
          <w:p>
            <w:pPr>
              <w:jc w:val="center"/>
            </w:pPr>
            <w:r/>
            <w:r>
              <w:rPr>
                <w:b w:val="0"/>
                <w:sz w:val="18"/>
              </w:rPr>
              <w:t>Setpoint tersedia</w:t>
            </w:r>
          </w:p>
        </w:tc>
        <w:tc>
          <w:tcPr>
            <w:tcW w:type="dxa" w:w="4933"/>
            <w:vAlign w:val="center"/>
          </w:tcPr>
          <w:p>
            <w:pPr>
              <w:jc w:val="center"/>
            </w:pPr>
            <w:r/>
            <w:r>
              <w:rPr>
                <w:b w:val="0"/>
                <w:sz w:val="18"/>
              </w:rPr>
              <w:t>10 g, 15 g, 20 g, 25 g, 30 g</w:t>
            </w:r>
          </w:p>
        </w:tc>
      </w:tr>
      <w:tr>
        <w:tc>
          <w:tcPr>
            <w:tcW w:type="dxa" w:w="4933"/>
            <w:vAlign w:val="center"/>
          </w:tcPr>
          <w:p>
            <w:pPr>
              <w:jc w:val="center"/>
            </w:pPr>
            <w:r/>
            <w:r>
              <w:rPr>
                <w:b w:val="0"/>
                <w:sz w:val="18"/>
              </w:rPr>
              <w:t>Sumber data</w:t>
            </w:r>
          </w:p>
        </w:tc>
        <w:tc>
          <w:tcPr>
            <w:tcW w:type="dxa" w:w="4933"/>
            <w:vAlign w:val="center"/>
          </w:tcPr>
          <w:p>
            <w:pPr>
              <w:jc w:val="center"/>
            </w:pPr>
            <w:r/>
            <w:r>
              <w:rPr>
                <w:b w:val="0"/>
                <w:sz w:val="18"/>
              </w:rPr>
              <w:t>Head-to-Head_Fixed_vs_GS_ES0gram.docx dan laporan_analisis_es0.md</w:t>
            </w:r>
          </w:p>
        </w:tc>
      </w:tr>
      <w:tr>
        <w:tc>
          <w:tcPr>
            <w:tcW w:type="dxa" w:w="4933"/>
            <w:vAlign w:val="center"/>
          </w:tcPr>
          <w:p>
            <w:pPr>
              <w:jc w:val="center"/>
            </w:pPr>
            <w:r/>
            <w:r>
              <w:rPr>
                <w:b w:val="0"/>
                <w:sz w:val="18"/>
              </w:rPr>
              <w:t>Keputusan final penelitian</w:t>
            </w:r>
          </w:p>
        </w:tc>
        <w:tc>
          <w:tcPr>
            <w:tcW w:type="dxa" w:w="4933"/>
            <w:vAlign w:val="center"/>
          </w:tcPr>
          <w:p>
            <w:pPr>
              <w:jc w:val="center"/>
            </w:pPr>
            <w:r/>
            <w:r>
              <w:rPr>
                <w:b w:val="0"/>
                <w:sz w:val="18"/>
              </w:rPr>
              <w:t>ES final tetap dikunci pada 0,4 g berdasarkan pilot ES 0,2/0,3/0,4</w:t>
            </w:r>
          </w:p>
        </w:tc>
      </w:tr>
    </w:tbl>
    <w:p>
      <w:pPr>
        <w:pStyle w:val="Heading1"/>
      </w:pPr>
      <w:r>
        <w:rPr>
          <w:rFonts w:ascii="Times New Roman" w:hAnsi="Times New Roman" w:eastAsia="Times New Roman"/>
        </w:rPr>
        <w:t>1. Tujuan Dokumen</w:t>
      </w:r>
    </w:p>
    <w:p>
      <w:r>
        <w:rPr>
          <w:rFonts w:ascii="Times New Roman" w:hAnsi="Times New Roman" w:eastAsia="Times New Roman"/>
        </w:rPr>
        <w:t>Dokumen ini dibuat untuk menjelaskan posisi metodologis pengujian Early Stop (ES) 0 g. Pengujian ini tidak digunakan untuk memilih konfigurasi final, tetapi sebagai baseline awal untuk menunjukkan risiko sistem ketika proses penakaran dihentikan tepat pada setpoint tanpa margin kompensasi.</w:t>
      </w:r>
    </w:p>
    <w:p>
      <w:r>
        <w:rPr>
          <w:rFonts w:ascii="Times New Roman" w:hAnsi="Times New Roman" w:eastAsia="Times New Roman"/>
        </w:rPr>
        <w:t>Dengan ES 0 g, servo mulai berhenti ketika massa aktual mendekati atau mencapai setpoint. Pada sistem pakan granular, kondisi ini berisiko karena material yang masih berada di jalur keluaran tetap jatuh setelah servo menutup. Fenomena tersebut disebut material in-flight dan dapat menghasilkan overshoot atau variasi error yang besar.</w:t>
      </w:r>
    </w:p>
    <w:p>
      <w:pPr>
        <w:pStyle w:val="Heading1"/>
      </w:pPr>
      <w:r>
        <w:rPr>
          <w:rFonts w:ascii="Times New Roman" w:hAnsi="Times New Roman" w:eastAsia="Times New Roman"/>
        </w:rPr>
        <w:t>2. Ringkasan Data ES 0 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33"/>
        <w:gridCol w:w="4933"/>
      </w:tblGrid>
      <w:tr>
        <w:tc>
          <w:tcPr>
            <w:tcW w:type="dxa" w:w="4933"/>
            <w:vAlign w:val="center"/>
            <w:shd w:fill="1F4E79"/>
          </w:tcPr>
          <w:p>
            <w:pPr>
              <w:jc w:val="center"/>
            </w:pPr>
            <w:r/>
            <w:r>
              <w:rPr>
                <w:b/>
                <w:color w:val="FFFFFF"/>
                <w:sz w:val="18"/>
              </w:rPr>
              <w:t>Kategori</w:t>
            </w:r>
          </w:p>
        </w:tc>
        <w:tc>
          <w:tcPr>
            <w:tcW w:type="dxa" w:w="4933"/>
            <w:vAlign w:val="center"/>
            <w:shd w:fill="1F4E79"/>
          </w:tcPr>
          <w:p>
            <w:pPr>
              <w:jc w:val="center"/>
            </w:pPr>
            <w:r/>
            <w:r>
              <w:rPr>
                <w:b/>
                <w:color w:val="FFFFFF"/>
                <w:sz w:val="18"/>
              </w:rPr>
              <w:t>Jumlah/Keterangan</w:t>
            </w:r>
          </w:p>
        </w:tc>
      </w:tr>
      <w:tr>
        <w:tc>
          <w:tcPr>
            <w:tcW w:type="dxa" w:w="4933"/>
            <w:vAlign w:val="center"/>
          </w:tcPr>
          <w:p>
            <w:pPr>
              <w:jc w:val="center"/>
            </w:pPr>
            <w:r/>
            <w:r>
              <w:rPr>
                <w:b w:val="0"/>
                <w:sz w:val="18"/>
              </w:rPr>
              <w:t>Total trial ES 0 g terdeteksi</w:t>
            </w:r>
          </w:p>
        </w:tc>
        <w:tc>
          <w:tcPr>
            <w:tcW w:type="dxa" w:w="4933"/>
            <w:vAlign w:val="center"/>
          </w:tcPr>
          <w:p>
            <w:pPr>
              <w:jc w:val="center"/>
            </w:pPr>
            <w:r/>
            <w:r>
              <w:rPr>
                <w:b w:val="0"/>
                <w:sz w:val="18"/>
              </w:rPr>
              <w:t>142</w:t>
            </w:r>
          </w:p>
        </w:tc>
      </w:tr>
      <w:tr>
        <w:tc>
          <w:tcPr>
            <w:tcW w:type="dxa" w:w="4933"/>
            <w:vAlign w:val="center"/>
          </w:tcPr>
          <w:p>
            <w:pPr>
              <w:jc w:val="center"/>
            </w:pPr>
            <w:r/>
            <w:r>
              <w:rPr>
                <w:b w:val="0"/>
                <w:sz w:val="18"/>
              </w:rPr>
              <w:t>Trial valid berdasarkan summary final</w:t>
            </w:r>
          </w:p>
        </w:tc>
        <w:tc>
          <w:tcPr>
            <w:tcW w:type="dxa" w:w="4933"/>
            <w:vAlign w:val="center"/>
          </w:tcPr>
          <w:p>
            <w:pPr>
              <w:jc w:val="center"/>
            </w:pPr>
            <w:r/>
            <w:r>
              <w:rPr>
                <w:b w:val="0"/>
                <w:sz w:val="18"/>
              </w:rPr>
              <w:t>140</w:t>
            </w:r>
          </w:p>
        </w:tc>
      </w:tr>
      <w:tr>
        <w:tc>
          <w:tcPr>
            <w:tcW w:type="dxa" w:w="4933"/>
            <w:vAlign w:val="center"/>
          </w:tcPr>
          <w:p>
            <w:pPr>
              <w:jc w:val="center"/>
            </w:pPr>
            <w:r/>
            <w:r>
              <w:rPr>
                <w:b w:val="0"/>
                <w:sz w:val="18"/>
              </w:rPr>
              <w:t>Trial invalid</w:t>
            </w:r>
          </w:p>
        </w:tc>
        <w:tc>
          <w:tcPr>
            <w:tcW w:type="dxa" w:w="4933"/>
            <w:vAlign w:val="center"/>
          </w:tcPr>
          <w:p>
            <w:pPr>
              <w:jc w:val="center"/>
            </w:pPr>
            <w:r/>
            <w:r>
              <w:rPr>
                <w:b w:val="0"/>
                <w:sz w:val="18"/>
              </w:rPr>
              <w:t>2</w:t>
            </w:r>
          </w:p>
        </w:tc>
      </w:tr>
      <w:tr>
        <w:tc>
          <w:tcPr>
            <w:tcW w:type="dxa" w:w="4933"/>
            <w:vAlign w:val="center"/>
          </w:tcPr>
          <w:p>
            <w:pPr>
              <w:jc w:val="center"/>
            </w:pPr>
            <w:r/>
            <w:r>
              <w:rPr>
                <w:b w:val="0"/>
                <w:sz w:val="18"/>
              </w:rPr>
              <w:t>Outlier/anomali kandidat</w:t>
            </w:r>
          </w:p>
        </w:tc>
        <w:tc>
          <w:tcPr>
            <w:tcW w:type="dxa" w:w="4933"/>
            <w:vAlign w:val="center"/>
          </w:tcPr>
          <w:p>
            <w:pPr>
              <w:jc w:val="center"/>
            </w:pPr>
            <w:r/>
            <w:r>
              <w:rPr>
                <w:b w:val="0"/>
                <w:sz w:val="18"/>
              </w:rPr>
              <w:t>29</w:t>
            </w:r>
          </w:p>
        </w:tc>
      </w:tr>
      <w:tr>
        <w:tc>
          <w:tcPr>
            <w:tcW w:type="dxa" w:w="4933"/>
            <w:vAlign w:val="center"/>
          </w:tcPr>
          <w:p>
            <w:pPr>
              <w:jc w:val="center"/>
            </w:pPr>
            <w:r/>
            <w:r>
              <w:rPr>
                <w:b w:val="0"/>
                <w:sz w:val="18"/>
              </w:rPr>
              <w:t>Status penggunaan data</w:t>
            </w:r>
          </w:p>
        </w:tc>
        <w:tc>
          <w:tcPr>
            <w:tcW w:type="dxa" w:w="4933"/>
            <w:vAlign w:val="center"/>
          </w:tcPr>
          <w:p>
            <w:pPr>
              <w:jc w:val="center"/>
            </w:pPr>
            <w:r/>
            <w:r>
              <w:rPr>
                <w:b w:val="0"/>
                <w:sz w:val="18"/>
              </w:rPr>
              <w:t>Uji pendahuluan/sensitivitas</w:t>
            </w:r>
          </w:p>
        </w:tc>
      </w:tr>
      <w:tr>
        <w:tc>
          <w:tcPr>
            <w:tcW w:type="dxa" w:w="4933"/>
            <w:vAlign w:val="center"/>
          </w:tcPr>
          <w:p>
            <w:pPr>
              <w:jc w:val="center"/>
            </w:pPr>
            <w:r/>
            <w:r>
              <w:rPr>
                <w:b w:val="0"/>
                <w:sz w:val="18"/>
              </w:rPr>
              <w:t>Hammer</w:t>
            </w:r>
          </w:p>
        </w:tc>
        <w:tc>
          <w:tcPr>
            <w:tcW w:type="dxa" w:w="4933"/>
            <w:vAlign w:val="center"/>
          </w:tcPr>
          <w:p>
            <w:pPr>
              <w:jc w:val="center"/>
            </w:pPr>
            <w:r/>
            <w:r>
              <w:rPr>
                <w:b w:val="0"/>
                <w:sz w:val="18"/>
              </w:rPr>
              <w:t>Aktif jika error &gt; 3 g</w:t>
            </w:r>
          </w:p>
        </w:tc>
      </w:tr>
    </w:tbl>
    <w:p>
      <w:r>
        <w:rPr>
          <w:rFonts w:ascii="Times New Roman" w:hAnsi="Times New Roman" w:eastAsia="Times New Roman"/>
        </w:rPr>
        <w:t>Dua trial invalid tidak digunakan dalam agregasi karena summary final tidak lengkap. Outlier/anomali kandidat tidak dihapus, melainkan disimpan sebagai data mentah dan diberi catatan sampai ada bukti teknis yang cukup untuk mengecualikannya.</w:t>
      </w:r>
    </w:p>
    <w:p>
      <w:pPr>
        <w:pStyle w:val="Heading1"/>
      </w:pPr>
      <w:r>
        <w:rPr>
          <w:rFonts w:ascii="Times New Roman" w:hAnsi="Times New Roman" w:eastAsia="Times New Roman"/>
        </w:rPr>
        <w:t>3. Agregat Head-to-Head Termasuk Outlier</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33"/>
        <w:gridCol w:w="1233"/>
        <w:gridCol w:w="1233"/>
        <w:gridCol w:w="1233"/>
        <w:gridCol w:w="1233"/>
        <w:gridCol w:w="1233"/>
        <w:gridCol w:w="1233"/>
        <w:gridCol w:w="1233"/>
      </w:tblGrid>
      <w:tr>
        <w:tc>
          <w:tcPr>
            <w:tcW w:type="dxa" w:w="1233"/>
            <w:vAlign w:val="center"/>
            <w:shd w:fill="1F4E79"/>
          </w:tcPr>
          <w:p>
            <w:pPr>
              <w:jc w:val="center"/>
            </w:pPr>
            <w:r/>
            <w:r>
              <w:rPr>
                <w:b/>
                <w:color w:val="FFFFFF"/>
                <w:sz w:val="14"/>
              </w:rPr>
              <w:t>Controller</w:t>
            </w:r>
          </w:p>
        </w:tc>
        <w:tc>
          <w:tcPr>
            <w:tcW w:type="dxa" w:w="1233"/>
            <w:vAlign w:val="center"/>
            <w:shd w:fill="1F4E79"/>
          </w:tcPr>
          <w:p>
            <w:pPr>
              <w:jc w:val="center"/>
            </w:pPr>
            <w:r/>
            <w:r>
              <w:rPr>
                <w:b/>
                <w:color w:val="FFFFFF"/>
                <w:sz w:val="14"/>
              </w:rPr>
              <w:t>SP</w:t>
            </w:r>
          </w:p>
        </w:tc>
        <w:tc>
          <w:tcPr>
            <w:tcW w:type="dxa" w:w="1233"/>
            <w:vAlign w:val="center"/>
            <w:shd w:fill="1F4E79"/>
          </w:tcPr>
          <w:p>
            <w:pPr>
              <w:jc w:val="center"/>
            </w:pPr>
            <w:r/>
            <w:r>
              <w:rPr>
                <w:b/>
                <w:color w:val="FFFFFF"/>
                <w:sz w:val="14"/>
              </w:rPr>
              <w:t>n</w:t>
            </w:r>
          </w:p>
        </w:tc>
        <w:tc>
          <w:tcPr>
            <w:tcW w:type="dxa" w:w="1233"/>
            <w:vAlign w:val="center"/>
            <w:shd w:fill="1F4E79"/>
          </w:tcPr>
          <w:p>
            <w:pPr>
              <w:jc w:val="center"/>
            </w:pPr>
            <w:r/>
            <w:r>
              <w:rPr>
                <w:b/>
                <w:color w:val="FFFFFF"/>
                <w:sz w:val="14"/>
              </w:rPr>
              <w:t>Akurat (%)</w:t>
            </w:r>
          </w:p>
        </w:tc>
        <w:tc>
          <w:tcPr>
            <w:tcW w:type="dxa" w:w="1233"/>
            <w:vAlign w:val="center"/>
            <w:shd w:fill="1F4E79"/>
          </w:tcPr>
          <w:p>
            <w:pPr>
              <w:jc w:val="center"/>
            </w:pPr>
            <w:r/>
            <w:r>
              <w:rPr>
                <w:b/>
                <w:color w:val="FFFFFF"/>
                <w:sz w:val="14"/>
              </w:rPr>
              <w:t>Mean Abs Error (g)</w:t>
            </w:r>
          </w:p>
        </w:tc>
        <w:tc>
          <w:tcPr>
            <w:tcW w:type="dxa" w:w="1233"/>
            <w:vAlign w:val="center"/>
            <w:shd w:fill="1F4E79"/>
          </w:tcPr>
          <w:p>
            <w:pPr>
              <w:jc w:val="center"/>
            </w:pPr>
            <w:r/>
            <w:r>
              <w:rPr>
                <w:b/>
                <w:color w:val="FFFFFF"/>
                <w:sz w:val="14"/>
              </w:rPr>
              <w:t>Durasi (s)</w:t>
            </w:r>
          </w:p>
        </w:tc>
        <w:tc>
          <w:tcPr>
            <w:tcW w:type="dxa" w:w="1233"/>
            <w:vAlign w:val="center"/>
            <w:shd w:fill="1F4E79"/>
          </w:tcPr>
          <w:p>
            <w:pPr>
              <w:jc w:val="center"/>
            </w:pPr>
            <w:r/>
            <w:r>
              <w:rPr>
                <w:b/>
                <w:color w:val="FFFFFF"/>
                <w:sz w:val="14"/>
              </w:rPr>
              <w:t>Bridging</w:t>
            </w:r>
          </w:p>
        </w:tc>
        <w:tc>
          <w:tcPr>
            <w:tcW w:type="dxa" w:w="1233"/>
            <w:vAlign w:val="center"/>
            <w:shd w:fill="1F4E79"/>
          </w:tcPr>
          <w:p>
            <w:pPr>
              <w:jc w:val="center"/>
            </w:pPr>
            <w:r/>
            <w:r>
              <w:rPr>
                <w:b/>
                <w:color w:val="FFFFFF"/>
                <w:sz w:val="14"/>
              </w:rPr>
              <w:t>Max Abs Error (g)</w:t>
            </w:r>
          </w:p>
        </w:tc>
      </w:tr>
      <w:tr>
        <w:tc>
          <w:tcPr>
            <w:tcW w:type="dxa" w:w="1233"/>
            <w:vAlign w:val="center"/>
          </w:tcPr>
          <w:p>
            <w:pPr>
              <w:jc w:val="center"/>
            </w:pPr>
            <w:r/>
            <w:r>
              <w:rPr>
                <w:b w:val="0"/>
                <w:sz w:val="14"/>
              </w:rPr>
              <w:t>Fixed PID</w:t>
            </w:r>
          </w:p>
        </w:tc>
        <w:tc>
          <w:tcPr>
            <w:tcW w:type="dxa" w:w="1233"/>
            <w:vAlign w:val="center"/>
          </w:tcPr>
          <w:p>
            <w:pPr>
              <w:jc w:val="center"/>
            </w:pPr>
            <w:r/>
            <w:r>
              <w:rPr>
                <w:b w:val="0"/>
                <w:sz w:val="14"/>
              </w:rPr>
              <w:t>10</w:t>
            </w:r>
          </w:p>
        </w:tc>
        <w:tc>
          <w:tcPr>
            <w:tcW w:type="dxa" w:w="1233"/>
            <w:vAlign w:val="center"/>
          </w:tcPr>
          <w:p>
            <w:pPr>
              <w:jc w:val="center"/>
            </w:pPr>
            <w:r/>
            <w:r>
              <w:rPr>
                <w:b w:val="0"/>
                <w:sz w:val="14"/>
              </w:rPr>
              <w:t>10</w:t>
            </w:r>
          </w:p>
        </w:tc>
        <w:tc>
          <w:tcPr>
            <w:tcW w:type="dxa" w:w="1233"/>
            <w:vAlign w:val="center"/>
          </w:tcPr>
          <w:p>
            <w:pPr>
              <w:jc w:val="center"/>
            </w:pPr>
            <w:r/>
            <w:r>
              <w:rPr>
                <w:b w:val="0"/>
                <w:sz w:val="14"/>
              </w:rPr>
              <w:t>40.00</w:t>
            </w:r>
          </w:p>
        </w:tc>
        <w:tc>
          <w:tcPr>
            <w:tcW w:type="dxa" w:w="1233"/>
            <w:vAlign w:val="center"/>
          </w:tcPr>
          <w:p>
            <w:pPr>
              <w:jc w:val="center"/>
            </w:pPr>
            <w:r/>
            <w:r>
              <w:rPr>
                <w:b w:val="0"/>
                <w:sz w:val="14"/>
              </w:rPr>
              <w:t>2.253</w:t>
            </w:r>
          </w:p>
        </w:tc>
        <w:tc>
          <w:tcPr>
            <w:tcW w:type="dxa" w:w="1233"/>
            <w:vAlign w:val="center"/>
          </w:tcPr>
          <w:p>
            <w:pPr>
              <w:jc w:val="center"/>
            </w:pPr>
            <w:r/>
            <w:r>
              <w:rPr>
                <w:b w:val="0"/>
                <w:sz w:val="14"/>
              </w:rPr>
              <w:t>26.44</w:t>
            </w:r>
          </w:p>
        </w:tc>
        <w:tc>
          <w:tcPr>
            <w:tcW w:type="dxa" w:w="1233"/>
            <w:vAlign w:val="center"/>
          </w:tcPr>
          <w:p>
            <w:pPr>
              <w:jc w:val="center"/>
            </w:pPr>
            <w:r/>
            <w:r>
              <w:rPr>
                <w:b w:val="0"/>
                <w:sz w:val="14"/>
              </w:rPr>
              <w:t>2.20</w:t>
            </w:r>
          </w:p>
        </w:tc>
        <w:tc>
          <w:tcPr>
            <w:tcW w:type="dxa" w:w="1233"/>
            <w:vAlign w:val="center"/>
          </w:tcPr>
          <w:p>
            <w:pPr>
              <w:jc w:val="center"/>
            </w:pPr>
            <w:r/>
            <w:r>
              <w:rPr>
                <w:b w:val="0"/>
                <w:sz w:val="14"/>
              </w:rPr>
              <w:t>8.88</w:t>
            </w:r>
          </w:p>
        </w:tc>
      </w:tr>
      <w:tr>
        <w:tc>
          <w:tcPr>
            <w:tcW w:type="dxa" w:w="1233"/>
            <w:vAlign w:val="center"/>
          </w:tcPr>
          <w:p>
            <w:pPr>
              <w:jc w:val="center"/>
            </w:pPr>
            <w:r/>
            <w:r>
              <w:rPr>
                <w:b w:val="0"/>
                <w:sz w:val="14"/>
              </w:rPr>
              <w:t>Fixed PID</w:t>
            </w:r>
          </w:p>
        </w:tc>
        <w:tc>
          <w:tcPr>
            <w:tcW w:type="dxa" w:w="1233"/>
            <w:vAlign w:val="center"/>
          </w:tcPr>
          <w:p>
            <w:pPr>
              <w:jc w:val="center"/>
            </w:pPr>
            <w:r/>
            <w:r>
              <w:rPr>
                <w:b w:val="0"/>
                <w:sz w:val="14"/>
              </w:rPr>
              <w:t>15</w:t>
            </w:r>
          </w:p>
        </w:tc>
        <w:tc>
          <w:tcPr>
            <w:tcW w:type="dxa" w:w="1233"/>
            <w:vAlign w:val="center"/>
          </w:tcPr>
          <w:p>
            <w:pPr>
              <w:jc w:val="center"/>
            </w:pPr>
            <w:r/>
            <w:r>
              <w:rPr>
                <w:b w:val="0"/>
                <w:sz w:val="14"/>
              </w:rPr>
              <w:t>8</w:t>
            </w:r>
          </w:p>
        </w:tc>
        <w:tc>
          <w:tcPr>
            <w:tcW w:type="dxa" w:w="1233"/>
            <w:vAlign w:val="center"/>
          </w:tcPr>
          <w:p>
            <w:pPr>
              <w:jc w:val="center"/>
            </w:pPr>
            <w:r/>
            <w:r>
              <w:rPr>
                <w:b w:val="0"/>
                <w:sz w:val="14"/>
              </w:rPr>
              <w:t>50.00</w:t>
            </w:r>
          </w:p>
        </w:tc>
        <w:tc>
          <w:tcPr>
            <w:tcW w:type="dxa" w:w="1233"/>
            <w:vAlign w:val="center"/>
          </w:tcPr>
          <w:p>
            <w:pPr>
              <w:jc w:val="center"/>
            </w:pPr>
            <w:r/>
            <w:r>
              <w:rPr>
                <w:b w:val="0"/>
                <w:sz w:val="14"/>
              </w:rPr>
              <w:t>1.057</w:t>
            </w:r>
          </w:p>
        </w:tc>
        <w:tc>
          <w:tcPr>
            <w:tcW w:type="dxa" w:w="1233"/>
            <w:vAlign w:val="center"/>
          </w:tcPr>
          <w:p>
            <w:pPr>
              <w:jc w:val="center"/>
            </w:pPr>
            <w:r/>
            <w:r>
              <w:rPr>
                <w:b w:val="0"/>
                <w:sz w:val="14"/>
              </w:rPr>
              <w:t>33.66</w:t>
            </w:r>
          </w:p>
        </w:tc>
        <w:tc>
          <w:tcPr>
            <w:tcW w:type="dxa" w:w="1233"/>
            <w:vAlign w:val="center"/>
          </w:tcPr>
          <w:p>
            <w:pPr>
              <w:jc w:val="center"/>
            </w:pPr>
            <w:r/>
            <w:r>
              <w:rPr>
                <w:b w:val="0"/>
                <w:sz w:val="14"/>
              </w:rPr>
              <w:t>3.88</w:t>
            </w:r>
          </w:p>
        </w:tc>
        <w:tc>
          <w:tcPr>
            <w:tcW w:type="dxa" w:w="1233"/>
            <w:vAlign w:val="center"/>
          </w:tcPr>
          <w:p>
            <w:pPr>
              <w:jc w:val="center"/>
            </w:pPr>
            <w:r/>
            <w:r>
              <w:rPr>
                <w:b w:val="0"/>
                <w:sz w:val="14"/>
              </w:rPr>
              <w:t>2.71</w:t>
            </w:r>
          </w:p>
        </w:tc>
      </w:tr>
      <w:tr>
        <w:tc>
          <w:tcPr>
            <w:tcW w:type="dxa" w:w="1233"/>
            <w:vAlign w:val="center"/>
          </w:tcPr>
          <w:p>
            <w:pPr>
              <w:jc w:val="center"/>
            </w:pPr>
            <w:r/>
            <w:r>
              <w:rPr>
                <w:b w:val="0"/>
                <w:sz w:val="14"/>
              </w:rPr>
              <w:t>Fixed PID</w:t>
            </w:r>
          </w:p>
        </w:tc>
        <w:tc>
          <w:tcPr>
            <w:tcW w:type="dxa" w:w="1233"/>
            <w:vAlign w:val="center"/>
          </w:tcPr>
          <w:p>
            <w:pPr>
              <w:jc w:val="center"/>
            </w:pPr>
            <w:r/>
            <w:r>
              <w:rPr>
                <w:b w:val="0"/>
                <w:sz w:val="14"/>
              </w:rPr>
              <w:t>20</w:t>
            </w:r>
          </w:p>
        </w:tc>
        <w:tc>
          <w:tcPr>
            <w:tcW w:type="dxa" w:w="1233"/>
            <w:vAlign w:val="center"/>
          </w:tcPr>
          <w:p>
            <w:pPr>
              <w:jc w:val="center"/>
            </w:pPr>
            <w:r/>
            <w:r>
              <w:rPr>
                <w:b w:val="0"/>
                <w:sz w:val="14"/>
              </w:rPr>
              <w:t>19</w:t>
            </w:r>
          </w:p>
        </w:tc>
        <w:tc>
          <w:tcPr>
            <w:tcW w:type="dxa" w:w="1233"/>
            <w:vAlign w:val="center"/>
          </w:tcPr>
          <w:p>
            <w:pPr>
              <w:jc w:val="center"/>
            </w:pPr>
            <w:r/>
            <w:r>
              <w:rPr>
                <w:b w:val="0"/>
                <w:sz w:val="14"/>
              </w:rPr>
              <w:t>68.42</w:t>
            </w:r>
          </w:p>
        </w:tc>
        <w:tc>
          <w:tcPr>
            <w:tcW w:type="dxa" w:w="1233"/>
            <w:vAlign w:val="center"/>
          </w:tcPr>
          <w:p>
            <w:pPr>
              <w:jc w:val="center"/>
            </w:pPr>
            <w:r/>
            <w:r>
              <w:rPr>
                <w:b w:val="0"/>
                <w:sz w:val="14"/>
              </w:rPr>
              <w:t>1.572</w:t>
            </w:r>
          </w:p>
        </w:tc>
        <w:tc>
          <w:tcPr>
            <w:tcW w:type="dxa" w:w="1233"/>
            <w:vAlign w:val="center"/>
          </w:tcPr>
          <w:p>
            <w:pPr>
              <w:jc w:val="center"/>
            </w:pPr>
            <w:r/>
            <w:r>
              <w:rPr>
                <w:b w:val="0"/>
                <w:sz w:val="14"/>
              </w:rPr>
              <w:t>35.76</w:t>
            </w:r>
          </w:p>
        </w:tc>
        <w:tc>
          <w:tcPr>
            <w:tcW w:type="dxa" w:w="1233"/>
            <w:vAlign w:val="center"/>
          </w:tcPr>
          <w:p>
            <w:pPr>
              <w:jc w:val="center"/>
            </w:pPr>
            <w:r/>
            <w:r>
              <w:rPr>
                <w:b w:val="0"/>
                <w:sz w:val="14"/>
              </w:rPr>
              <w:t>3.47</w:t>
            </w:r>
          </w:p>
        </w:tc>
        <w:tc>
          <w:tcPr>
            <w:tcW w:type="dxa" w:w="1233"/>
            <w:vAlign w:val="center"/>
          </w:tcPr>
          <w:p>
            <w:pPr>
              <w:jc w:val="center"/>
            </w:pPr>
            <w:r/>
            <w:r>
              <w:rPr>
                <w:b w:val="0"/>
                <w:sz w:val="14"/>
              </w:rPr>
              <w:t>8.01</w:t>
            </w:r>
          </w:p>
        </w:tc>
      </w:tr>
      <w:tr>
        <w:tc>
          <w:tcPr>
            <w:tcW w:type="dxa" w:w="1233"/>
            <w:vAlign w:val="center"/>
          </w:tcPr>
          <w:p>
            <w:pPr>
              <w:jc w:val="center"/>
            </w:pPr>
            <w:r/>
            <w:r>
              <w:rPr>
                <w:b w:val="0"/>
                <w:sz w:val="14"/>
              </w:rPr>
              <w:t>Fixed PID</w:t>
            </w:r>
          </w:p>
        </w:tc>
        <w:tc>
          <w:tcPr>
            <w:tcW w:type="dxa" w:w="1233"/>
            <w:vAlign w:val="center"/>
          </w:tcPr>
          <w:p>
            <w:pPr>
              <w:jc w:val="center"/>
            </w:pPr>
            <w:r/>
            <w:r>
              <w:rPr>
                <w:b w:val="0"/>
                <w:sz w:val="14"/>
              </w:rPr>
              <w:t>25</w:t>
            </w:r>
          </w:p>
        </w:tc>
        <w:tc>
          <w:tcPr>
            <w:tcW w:type="dxa" w:w="1233"/>
            <w:vAlign w:val="center"/>
          </w:tcPr>
          <w:p>
            <w:pPr>
              <w:jc w:val="center"/>
            </w:pPr>
            <w:r/>
            <w:r>
              <w:rPr>
                <w:b w:val="0"/>
                <w:sz w:val="14"/>
              </w:rPr>
              <w:t>10</w:t>
            </w:r>
          </w:p>
        </w:tc>
        <w:tc>
          <w:tcPr>
            <w:tcW w:type="dxa" w:w="1233"/>
            <w:vAlign w:val="center"/>
          </w:tcPr>
          <w:p>
            <w:pPr>
              <w:jc w:val="center"/>
            </w:pPr>
            <w:r/>
            <w:r>
              <w:rPr>
                <w:b w:val="0"/>
                <w:sz w:val="14"/>
              </w:rPr>
              <w:t>80.00</w:t>
            </w:r>
          </w:p>
        </w:tc>
        <w:tc>
          <w:tcPr>
            <w:tcW w:type="dxa" w:w="1233"/>
            <w:vAlign w:val="center"/>
          </w:tcPr>
          <w:p>
            <w:pPr>
              <w:jc w:val="center"/>
            </w:pPr>
            <w:r/>
            <w:r>
              <w:rPr>
                <w:b w:val="0"/>
                <w:sz w:val="14"/>
              </w:rPr>
              <w:t>1.377</w:t>
            </w:r>
          </w:p>
        </w:tc>
        <w:tc>
          <w:tcPr>
            <w:tcW w:type="dxa" w:w="1233"/>
            <w:vAlign w:val="center"/>
          </w:tcPr>
          <w:p>
            <w:pPr>
              <w:jc w:val="center"/>
            </w:pPr>
            <w:r/>
            <w:r>
              <w:rPr>
                <w:b w:val="0"/>
                <w:sz w:val="14"/>
              </w:rPr>
              <w:t>38.44</w:t>
            </w:r>
          </w:p>
        </w:tc>
        <w:tc>
          <w:tcPr>
            <w:tcW w:type="dxa" w:w="1233"/>
            <w:vAlign w:val="center"/>
          </w:tcPr>
          <w:p>
            <w:pPr>
              <w:jc w:val="center"/>
            </w:pPr>
            <w:r/>
            <w:r>
              <w:rPr>
                <w:b w:val="0"/>
                <w:sz w:val="14"/>
              </w:rPr>
              <w:t>3.20</w:t>
            </w:r>
          </w:p>
        </w:tc>
        <w:tc>
          <w:tcPr>
            <w:tcW w:type="dxa" w:w="1233"/>
            <w:vAlign w:val="center"/>
          </w:tcPr>
          <w:p>
            <w:pPr>
              <w:jc w:val="center"/>
            </w:pPr>
            <w:r/>
            <w:r>
              <w:rPr>
                <w:b w:val="0"/>
                <w:sz w:val="14"/>
              </w:rPr>
              <w:t>6.85</w:t>
            </w:r>
          </w:p>
        </w:tc>
      </w:tr>
      <w:tr>
        <w:tc>
          <w:tcPr>
            <w:tcW w:type="dxa" w:w="1233"/>
            <w:vAlign w:val="center"/>
          </w:tcPr>
          <w:p>
            <w:pPr>
              <w:jc w:val="center"/>
            </w:pPr>
            <w:r/>
            <w:r>
              <w:rPr>
                <w:b w:val="0"/>
                <w:sz w:val="14"/>
              </w:rPr>
              <w:t>Fixed PID</w:t>
            </w:r>
          </w:p>
        </w:tc>
        <w:tc>
          <w:tcPr>
            <w:tcW w:type="dxa" w:w="1233"/>
            <w:vAlign w:val="center"/>
          </w:tcPr>
          <w:p>
            <w:pPr>
              <w:jc w:val="center"/>
            </w:pPr>
            <w:r/>
            <w:r>
              <w:rPr>
                <w:b w:val="0"/>
                <w:sz w:val="14"/>
              </w:rPr>
              <w:t>30</w:t>
            </w:r>
          </w:p>
        </w:tc>
        <w:tc>
          <w:tcPr>
            <w:tcW w:type="dxa" w:w="1233"/>
            <w:vAlign w:val="center"/>
          </w:tcPr>
          <w:p>
            <w:pPr>
              <w:jc w:val="center"/>
            </w:pPr>
            <w:r/>
            <w:r>
              <w:rPr>
                <w:b w:val="0"/>
                <w:sz w:val="14"/>
              </w:rPr>
              <w:t>7</w:t>
            </w:r>
          </w:p>
        </w:tc>
        <w:tc>
          <w:tcPr>
            <w:tcW w:type="dxa" w:w="1233"/>
            <w:vAlign w:val="center"/>
          </w:tcPr>
          <w:p>
            <w:pPr>
              <w:jc w:val="center"/>
            </w:pPr>
            <w:r/>
            <w:r>
              <w:rPr>
                <w:b w:val="0"/>
                <w:sz w:val="14"/>
              </w:rPr>
              <w:t>71.43</w:t>
            </w:r>
          </w:p>
        </w:tc>
        <w:tc>
          <w:tcPr>
            <w:tcW w:type="dxa" w:w="1233"/>
            <w:vAlign w:val="center"/>
          </w:tcPr>
          <w:p>
            <w:pPr>
              <w:jc w:val="center"/>
            </w:pPr>
            <w:r/>
            <w:r>
              <w:rPr>
                <w:b w:val="0"/>
                <w:sz w:val="14"/>
              </w:rPr>
              <w:t>1.617</w:t>
            </w:r>
          </w:p>
        </w:tc>
        <w:tc>
          <w:tcPr>
            <w:tcW w:type="dxa" w:w="1233"/>
            <w:vAlign w:val="center"/>
          </w:tcPr>
          <w:p>
            <w:pPr>
              <w:jc w:val="center"/>
            </w:pPr>
            <w:r/>
            <w:r>
              <w:rPr>
                <w:b w:val="0"/>
                <w:sz w:val="14"/>
              </w:rPr>
              <w:t>34.72</w:t>
            </w:r>
          </w:p>
        </w:tc>
        <w:tc>
          <w:tcPr>
            <w:tcW w:type="dxa" w:w="1233"/>
            <w:vAlign w:val="center"/>
          </w:tcPr>
          <w:p>
            <w:pPr>
              <w:jc w:val="center"/>
            </w:pPr>
            <w:r/>
            <w:r>
              <w:rPr>
                <w:b w:val="0"/>
                <w:sz w:val="14"/>
              </w:rPr>
              <w:t>2.71</w:t>
            </w:r>
          </w:p>
        </w:tc>
        <w:tc>
          <w:tcPr>
            <w:tcW w:type="dxa" w:w="1233"/>
            <w:vAlign w:val="center"/>
          </w:tcPr>
          <w:p>
            <w:pPr>
              <w:jc w:val="center"/>
            </w:pPr>
            <w:r/>
            <w:r>
              <w:rPr>
                <w:b w:val="0"/>
                <w:sz w:val="14"/>
              </w:rPr>
              <w:t>5.96</w:t>
            </w:r>
          </w:p>
        </w:tc>
      </w:tr>
      <w:tr>
        <w:tc>
          <w:tcPr>
            <w:tcW w:type="dxa" w:w="1233"/>
            <w:vAlign w:val="center"/>
          </w:tcPr>
          <w:p>
            <w:pPr>
              <w:jc w:val="center"/>
            </w:pPr>
            <w:r/>
            <w:r>
              <w:rPr>
                <w:b w:val="0"/>
                <w:sz w:val="14"/>
              </w:rPr>
              <w:t>GS PID</w:t>
            </w:r>
          </w:p>
        </w:tc>
        <w:tc>
          <w:tcPr>
            <w:tcW w:type="dxa" w:w="1233"/>
            <w:vAlign w:val="center"/>
          </w:tcPr>
          <w:p>
            <w:pPr>
              <w:jc w:val="center"/>
            </w:pPr>
            <w:r/>
            <w:r>
              <w:rPr>
                <w:b w:val="0"/>
                <w:sz w:val="14"/>
              </w:rPr>
              <w:t>10</w:t>
            </w:r>
          </w:p>
        </w:tc>
        <w:tc>
          <w:tcPr>
            <w:tcW w:type="dxa" w:w="1233"/>
            <w:vAlign w:val="center"/>
          </w:tcPr>
          <w:p>
            <w:pPr>
              <w:jc w:val="center"/>
            </w:pPr>
            <w:r/>
            <w:r>
              <w:rPr>
                <w:b w:val="0"/>
                <w:sz w:val="14"/>
              </w:rPr>
              <w:t>10</w:t>
            </w:r>
          </w:p>
        </w:tc>
        <w:tc>
          <w:tcPr>
            <w:tcW w:type="dxa" w:w="1233"/>
            <w:vAlign w:val="center"/>
          </w:tcPr>
          <w:p>
            <w:pPr>
              <w:jc w:val="center"/>
            </w:pPr>
            <w:r/>
            <w:r>
              <w:rPr>
                <w:b w:val="0"/>
                <w:sz w:val="14"/>
              </w:rPr>
              <w:t>20.00</w:t>
            </w:r>
          </w:p>
        </w:tc>
        <w:tc>
          <w:tcPr>
            <w:tcW w:type="dxa" w:w="1233"/>
            <w:vAlign w:val="center"/>
          </w:tcPr>
          <w:p>
            <w:pPr>
              <w:jc w:val="center"/>
            </w:pPr>
            <w:r/>
            <w:r>
              <w:rPr>
                <w:b w:val="0"/>
                <w:sz w:val="14"/>
              </w:rPr>
              <w:t>1.885</w:t>
            </w:r>
          </w:p>
        </w:tc>
        <w:tc>
          <w:tcPr>
            <w:tcW w:type="dxa" w:w="1233"/>
            <w:vAlign w:val="center"/>
          </w:tcPr>
          <w:p>
            <w:pPr>
              <w:jc w:val="center"/>
            </w:pPr>
            <w:r/>
            <w:r>
              <w:rPr>
                <w:b w:val="0"/>
                <w:sz w:val="14"/>
              </w:rPr>
              <w:t>24.84</w:t>
            </w:r>
          </w:p>
        </w:tc>
        <w:tc>
          <w:tcPr>
            <w:tcW w:type="dxa" w:w="1233"/>
            <w:vAlign w:val="center"/>
          </w:tcPr>
          <w:p>
            <w:pPr>
              <w:jc w:val="center"/>
            </w:pPr>
            <w:r/>
            <w:r>
              <w:rPr>
                <w:b w:val="0"/>
                <w:sz w:val="14"/>
              </w:rPr>
              <w:t>1.20</w:t>
            </w:r>
          </w:p>
        </w:tc>
        <w:tc>
          <w:tcPr>
            <w:tcW w:type="dxa" w:w="1233"/>
            <w:vAlign w:val="center"/>
          </w:tcPr>
          <w:p>
            <w:pPr>
              <w:jc w:val="center"/>
            </w:pPr>
            <w:r/>
            <w:r>
              <w:rPr>
                <w:b w:val="0"/>
                <w:sz w:val="14"/>
              </w:rPr>
              <w:t>8.68</w:t>
            </w:r>
          </w:p>
        </w:tc>
      </w:tr>
      <w:tr>
        <w:tc>
          <w:tcPr>
            <w:tcW w:type="dxa" w:w="1233"/>
            <w:vAlign w:val="center"/>
          </w:tcPr>
          <w:p>
            <w:pPr>
              <w:jc w:val="center"/>
            </w:pPr>
            <w:r/>
            <w:r>
              <w:rPr>
                <w:b w:val="0"/>
                <w:sz w:val="14"/>
              </w:rPr>
              <w:t>GS PID</w:t>
            </w:r>
          </w:p>
        </w:tc>
        <w:tc>
          <w:tcPr>
            <w:tcW w:type="dxa" w:w="1233"/>
            <w:vAlign w:val="center"/>
          </w:tcPr>
          <w:p>
            <w:pPr>
              <w:jc w:val="center"/>
            </w:pPr>
            <w:r/>
            <w:r>
              <w:rPr>
                <w:b w:val="0"/>
                <w:sz w:val="14"/>
              </w:rPr>
              <w:t>15</w:t>
            </w:r>
          </w:p>
        </w:tc>
        <w:tc>
          <w:tcPr>
            <w:tcW w:type="dxa" w:w="1233"/>
            <w:vAlign w:val="center"/>
          </w:tcPr>
          <w:p>
            <w:pPr>
              <w:jc w:val="center"/>
            </w:pPr>
            <w:r/>
            <w:r>
              <w:rPr>
                <w:b w:val="0"/>
                <w:sz w:val="14"/>
              </w:rPr>
              <w:t>18</w:t>
            </w:r>
          </w:p>
        </w:tc>
        <w:tc>
          <w:tcPr>
            <w:tcW w:type="dxa" w:w="1233"/>
            <w:vAlign w:val="center"/>
          </w:tcPr>
          <w:p>
            <w:pPr>
              <w:jc w:val="center"/>
            </w:pPr>
            <w:r/>
            <w:r>
              <w:rPr>
                <w:b w:val="0"/>
                <w:sz w:val="14"/>
              </w:rPr>
              <w:t>77.78</w:t>
            </w:r>
          </w:p>
        </w:tc>
        <w:tc>
          <w:tcPr>
            <w:tcW w:type="dxa" w:w="1233"/>
            <w:vAlign w:val="center"/>
          </w:tcPr>
          <w:p>
            <w:pPr>
              <w:jc w:val="center"/>
            </w:pPr>
            <w:r/>
            <w:r>
              <w:rPr>
                <w:b w:val="0"/>
                <w:sz w:val="14"/>
              </w:rPr>
              <w:t>0.951</w:t>
            </w:r>
          </w:p>
        </w:tc>
        <w:tc>
          <w:tcPr>
            <w:tcW w:type="dxa" w:w="1233"/>
            <w:vAlign w:val="center"/>
          </w:tcPr>
          <w:p>
            <w:pPr>
              <w:jc w:val="center"/>
            </w:pPr>
            <w:r/>
            <w:r>
              <w:rPr>
                <w:b w:val="0"/>
                <w:sz w:val="14"/>
              </w:rPr>
              <w:t>25.47</w:t>
            </w:r>
          </w:p>
        </w:tc>
        <w:tc>
          <w:tcPr>
            <w:tcW w:type="dxa" w:w="1233"/>
            <w:vAlign w:val="center"/>
          </w:tcPr>
          <w:p>
            <w:pPr>
              <w:jc w:val="center"/>
            </w:pPr>
            <w:r/>
            <w:r>
              <w:rPr>
                <w:b w:val="0"/>
                <w:sz w:val="14"/>
              </w:rPr>
              <w:t>1.83</w:t>
            </w:r>
          </w:p>
        </w:tc>
        <w:tc>
          <w:tcPr>
            <w:tcW w:type="dxa" w:w="1233"/>
            <w:vAlign w:val="center"/>
          </w:tcPr>
          <w:p>
            <w:pPr>
              <w:jc w:val="center"/>
            </w:pPr>
            <w:r/>
            <w:r>
              <w:rPr>
                <w:b w:val="0"/>
                <w:sz w:val="14"/>
              </w:rPr>
              <w:t>5.23</w:t>
            </w:r>
          </w:p>
        </w:tc>
      </w:tr>
      <w:tr>
        <w:tc>
          <w:tcPr>
            <w:tcW w:type="dxa" w:w="1233"/>
            <w:vAlign w:val="center"/>
          </w:tcPr>
          <w:p>
            <w:pPr>
              <w:jc w:val="center"/>
            </w:pPr>
            <w:r/>
            <w:r>
              <w:rPr>
                <w:b w:val="0"/>
                <w:sz w:val="14"/>
              </w:rPr>
              <w:t>GS PID</w:t>
            </w:r>
          </w:p>
        </w:tc>
        <w:tc>
          <w:tcPr>
            <w:tcW w:type="dxa" w:w="1233"/>
            <w:vAlign w:val="center"/>
          </w:tcPr>
          <w:p>
            <w:pPr>
              <w:jc w:val="center"/>
            </w:pPr>
            <w:r/>
            <w:r>
              <w:rPr>
                <w:b w:val="0"/>
                <w:sz w:val="14"/>
              </w:rPr>
              <w:t>20</w:t>
            </w:r>
          </w:p>
        </w:tc>
        <w:tc>
          <w:tcPr>
            <w:tcW w:type="dxa" w:w="1233"/>
            <w:vAlign w:val="center"/>
          </w:tcPr>
          <w:p>
            <w:pPr>
              <w:jc w:val="center"/>
            </w:pPr>
            <w:r/>
            <w:r>
              <w:rPr>
                <w:b w:val="0"/>
                <w:sz w:val="14"/>
              </w:rPr>
              <w:t>20</w:t>
            </w:r>
          </w:p>
        </w:tc>
        <w:tc>
          <w:tcPr>
            <w:tcW w:type="dxa" w:w="1233"/>
            <w:vAlign w:val="center"/>
          </w:tcPr>
          <w:p>
            <w:pPr>
              <w:jc w:val="center"/>
            </w:pPr>
            <w:r/>
            <w:r>
              <w:rPr>
                <w:b w:val="0"/>
                <w:sz w:val="14"/>
              </w:rPr>
              <w:t>75.00</w:t>
            </w:r>
          </w:p>
        </w:tc>
        <w:tc>
          <w:tcPr>
            <w:tcW w:type="dxa" w:w="1233"/>
            <w:vAlign w:val="center"/>
          </w:tcPr>
          <w:p>
            <w:pPr>
              <w:jc w:val="center"/>
            </w:pPr>
            <w:r/>
            <w:r>
              <w:rPr>
                <w:b w:val="0"/>
                <w:sz w:val="14"/>
              </w:rPr>
              <w:t>1.169</w:t>
            </w:r>
          </w:p>
        </w:tc>
        <w:tc>
          <w:tcPr>
            <w:tcW w:type="dxa" w:w="1233"/>
            <w:vAlign w:val="center"/>
          </w:tcPr>
          <w:p>
            <w:pPr>
              <w:jc w:val="center"/>
            </w:pPr>
            <w:r/>
            <w:r>
              <w:rPr>
                <w:b w:val="0"/>
                <w:sz w:val="14"/>
              </w:rPr>
              <w:t>27.60</w:t>
            </w:r>
          </w:p>
        </w:tc>
        <w:tc>
          <w:tcPr>
            <w:tcW w:type="dxa" w:w="1233"/>
            <w:vAlign w:val="center"/>
          </w:tcPr>
          <w:p>
            <w:pPr>
              <w:jc w:val="center"/>
            </w:pPr>
            <w:r/>
            <w:r>
              <w:rPr>
                <w:b w:val="0"/>
                <w:sz w:val="14"/>
              </w:rPr>
              <w:t>2.10</w:t>
            </w:r>
          </w:p>
        </w:tc>
        <w:tc>
          <w:tcPr>
            <w:tcW w:type="dxa" w:w="1233"/>
            <w:vAlign w:val="center"/>
          </w:tcPr>
          <w:p>
            <w:pPr>
              <w:jc w:val="center"/>
            </w:pPr>
            <w:r/>
            <w:r>
              <w:rPr>
                <w:b w:val="0"/>
                <w:sz w:val="14"/>
              </w:rPr>
              <w:t>7.90</w:t>
            </w:r>
          </w:p>
        </w:tc>
      </w:tr>
      <w:tr>
        <w:tc>
          <w:tcPr>
            <w:tcW w:type="dxa" w:w="1233"/>
            <w:vAlign w:val="center"/>
          </w:tcPr>
          <w:p>
            <w:pPr>
              <w:jc w:val="center"/>
            </w:pPr>
            <w:r/>
            <w:r>
              <w:rPr>
                <w:b w:val="0"/>
                <w:sz w:val="14"/>
              </w:rPr>
              <w:t>GS PID</w:t>
            </w:r>
          </w:p>
        </w:tc>
        <w:tc>
          <w:tcPr>
            <w:tcW w:type="dxa" w:w="1233"/>
            <w:vAlign w:val="center"/>
          </w:tcPr>
          <w:p>
            <w:pPr>
              <w:jc w:val="center"/>
            </w:pPr>
            <w:r/>
            <w:r>
              <w:rPr>
                <w:b w:val="0"/>
                <w:sz w:val="14"/>
              </w:rPr>
              <w:t>25</w:t>
            </w:r>
          </w:p>
        </w:tc>
        <w:tc>
          <w:tcPr>
            <w:tcW w:type="dxa" w:w="1233"/>
            <w:vAlign w:val="center"/>
          </w:tcPr>
          <w:p>
            <w:pPr>
              <w:jc w:val="center"/>
            </w:pPr>
            <w:r/>
            <w:r>
              <w:rPr>
                <w:b w:val="0"/>
                <w:sz w:val="14"/>
              </w:rPr>
              <w:t>18</w:t>
            </w:r>
          </w:p>
        </w:tc>
        <w:tc>
          <w:tcPr>
            <w:tcW w:type="dxa" w:w="1233"/>
            <w:vAlign w:val="center"/>
          </w:tcPr>
          <w:p>
            <w:pPr>
              <w:jc w:val="center"/>
            </w:pPr>
            <w:r/>
            <w:r>
              <w:rPr>
                <w:b w:val="0"/>
                <w:sz w:val="14"/>
              </w:rPr>
              <w:t>72.22</w:t>
            </w:r>
          </w:p>
        </w:tc>
        <w:tc>
          <w:tcPr>
            <w:tcW w:type="dxa" w:w="1233"/>
            <w:vAlign w:val="center"/>
          </w:tcPr>
          <w:p>
            <w:pPr>
              <w:jc w:val="center"/>
            </w:pPr>
            <w:r/>
            <w:r>
              <w:rPr>
                <w:b w:val="0"/>
                <w:sz w:val="14"/>
              </w:rPr>
              <w:t>1.498</w:t>
            </w:r>
          </w:p>
        </w:tc>
        <w:tc>
          <w:tcPr>
            <w:tcW w:type="dxa" w:w="1233"/>
            <w:vAlign w:val="center"/>
          </w:tcPr>
          <w:p>
            <w:pPr>
              <w:jc w:val="center"/>
            </w:pPr>
            <w:r/>
            <w:r>
              <w:rPr>
                <w:b w:val="0"/>
                <w:sz w:val="14"/>
              </w:rPr>
              <w:t>34.04</w:t>
            </w:r>
          </w:p>
        </w:tc>
        <w:tc>
          <w:tcPr>
            <w:tcW w:type="dxa" w:w="1233"/>
            <w:vAlign w:val="center"/>
          </w:tcPr>
          <w:p>
            <w:pPr>
              <w:jc w:val="center"/>
            </w:pPr>
            <w:r/>
            <w:r>
              <w:rPr>
                <w:b w:val="0"/>
                <w:sz w:val="14"/>
              </w:rPr>
              <w:t>2.72</w:t>
            </w:r>
          </w:p>
        </w:tc>
        <w:tc>
          <w:tcPr>
            <w:tcW w:type="dxa" w:w="1233"/>
            <w:vAlign w:val="center"/>
          </w:tcPr>
          <w:p>
            <w:pPr>
              <w:jc w:val="center"/>
            </w:pPr>
            <w:r/>
            <w:r>
              <w:rPr>
                <w:b w:val="0"/>
                <w:sz w:val="14"/>
              </w:rPr>
              <w:t>8.30</w:t>
            </w:r>
          </w:p>
        </w:tc>
      </w:tr>
      <w:tr>
        <w:tc>
          <w:tcPr>
            <w:tcW w:type="dxa" w:w="1233"/>
            <w:vAlign w:val="center"/>
          </w:tcPr>
          <w:p>
            <w:pPr>
              <w:jc w:val="center"/>
            </w:pPr>
            <w:r/>
            <w:r>
              <w:rPr>
                <w:b w:val="0"/>
                <w:sz w:val="14"/>
              </w:rPr>
              <w:t>GS PID</w:t>
            </w:r>
          </w:p>
        </w:tc>
        <w:tc>
          <w:tcPr>
            <w:tcW w:type="dxa" w:w="1233"/>
            <w:vAlign w:val="center"/>
          </w:tcPr>
          <w:p>
            <w:pPr>
              <w:jc w:val="center"/>
            </w:pPr>
            <w:r/>
            <w:r>
              <w:rPr>
                <w:b w:val="0"/>
                <w:sz w:val="14"/>
              </w:rPr>
              <w:t>30</w:t>
            </w:r>
          </w:p>
        </w:tc>
        <w:tc>
          <w:tcPr>
            <w:tcW w:type="dxa" w:w="1233"/>
            <w:vAlign w:val="center"/>
          </w:tcPr>
          <w:p>
            <w:pPr>
              <w:jc w:val="center"/>
            </w:pPr>
            <w:r/>
            <w:r>
              <w:rPr>
                <w:b w:val="0"/>
                <w:sz w:val="14"/>
              </w:rPr>
              <w:t>20</w:t>
            </w:r>
          </w:p>
        </w:tc>
        <w:tc>
          <w:tcPr>
            <w:tcW w:type="dxa" w:w="1233"/>
            <w:vAlign w:val="center"/>
          </w:tcPr>
          <w:p>
            <w:pPr>
              <w:jc w:val="center"/>
            </w:pPr>
            <w:r/>
            <w:r>
              <w:rPr>
                <w:b w:val="0"/>
                <w:sz w:val="14"/>
              </w:rPr>
              <w:t>85.00</w:t>
            </w:r>
          </w:p>
        </w:tc>
        <w:tc>
          <w:tcPr>
            <w:tcW w:type="dxa" w:w="1233"/>
            <w:vAlign w:val="center"/>
          </w:tcPr>
          <w:p>
            <w:pPr>
              <w:jc w:val="center"/>
            </w:pPr>
            <w:r/>
            <w:r>
              <w:rPr>
                <w:b w:val="0"/>
                <w:sz w:val="14"/>
              </w:rPr>
              <w:t>1.241</w:t>
            </w:r>
          </w:p>
        </w:tc>
        <w:tc>
          <w:tcPr>
            <w:tcW w:type="dxa" w:w="1233"/>
            <w:vAlign w:val="center"/>
          </w:tcPr>
          <w:p>
            <w:pPr>
              <w:jc w:val="center"/>
            </w:pPr>
            <w:r/>
            <w:r>
              <w:rPr>
                <w:b w:val="0"/>
                <w:sz w:val="14"/>
              </w:rPr>
              <w:t>34.12</w:t>
            </w:r>
          </w:p>
        </w:tc>
        <w:tc>
          <w:tcPr>
            <w:tcW w:type="dxa" w:w="1233"/>
            <w:vAlign w:val="center"/>
          </w:tcPr>
          <w:p>
            <w:pPr>
              <w:jc w:val="center"/>
            </w:pPr>
            <w:r/>
            <w:r>
              <w:rPr>
                <w:b w:val="0"/>
                <w:sz w:val="14"/>
              </w:rPr>
              <w:t>2.55</w:t>
            </w:r>
          </w:p>
        </w:tc>
        <w:tc>
          <w:tcPr>
            <w:tcW w:type="dxa" w:w="1233"/>
            <w:vAlign w:val="center"/>
          </w:tcPr>
          <w:p>
            <w:pPr>
              <w:jc w:val="center"/>
            </w:pPr>
            <w:r/>
            <w:r>
              <w:rPr>
                <w:b w:val="0"/>
                <w:sz w:val="14"/>
              </w:rPr>
              <w:t>12.87</w:t>
            </w:r>
          </w:p>
        </w:tc>
      </w:tr>
    </w:tbl>
    <w:p>
      <w:r>
        <w:rPr>
          <w:rFonts w:ascii="Times New Roman" w:hAnsi="Times New Roman" w:eastAsia="Times New Roman"/>
          <w:i/>
          <w:sz w:val="18"/>
        </w:rPr>
        <w:t>Tabel ini mempertahankan seluruh data valid termasuk outlier/anomali kandidat.</w:t>
      </w:r>
    </w:p>
    <w:p>
      <w:r>
        <w:rPr>
          <w:rFonts w:ascii="Times New Roman" w:hAnsi="Times New Roman" w:eastAsia="Times New Roman"/>
        </w:rPr>
        <w:t>Pembacaan utama dari tabel termasuk outlier adalah bahwa ES 0 g menghasilkan beberapa error maksimum yang sangat besar pada kedua controller. Fixed PID memiliki max abs error hingga 8,88 g, sedangkan Gain Scheduling PID memiliki max abs error hingga 12,87 g. Nilai ekstrem ini memperlihatkan bahwa tanpa margin early stop, sistem terlalu rentan terhadap material in-flight, avalanche, dan pelepasan massa setelah hambatan granular terlepas.</w:t>
      </w:r>
    </w:p>
    <w:p>
      <w:pPr>
        <w:pStyle w:val="Heading1"/>
      </w:pPr>
      <w:r>
        <w:rPr>
          <w:rFonts w:ascii="Times New Roman" w:hAnsi="Times New Roman" w:eastAsia="Times New Roman"/>
        </w:rPr>
        <w:t>4. Agregat Tanpa Outlier Kandidat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96"/>
        <w:gridCol w:w="1096"/>
        <w:gridCol w:w="1096"/>
        <w:gridCol w:w="1096"/>
        <w:gridCol w:w="1096"/>
        <w:gridCol w:w="1096"/>
        <w:gridCol w:w="1096"/>
        <w:gridCol w:w="1096"/>
        <w:gridCol w:w="1096"/>
      </w:tblGrid>
      <w:tr>
        <w:tc>
          <w:tcPr>
            <w:tcW w:type="dxa" w:w="1096"/>
            <w:vAlign w:val="center"/>
            <w:shd w:fill="1F4E79"/>
          </w:tcPr>
          <w:p>
            <w:pPr>
              <w:jc w:val="center"/>
            </w:pPr>
            <w:r/>
            <w:r>
              <w:rPr>
                <w:b/>
                <w:color w:val="FFFFFF"/>
                <w:sz w:val="13"/>
              </w:rPr>
              <w:t>Controller</w:t>
            </w:r>
          </w:p>
        </w:tc>
        <w:tc>
          <w:tcPr>
            <w:tcW w:type="dxa" w:w="1096"/>
            <w:vAlign w:val="center"/>
            <w:shd w:fill="1F4E79"/>
          </w:tcPr>
          <w:p>
            <w:pPr>
              <w:jc w:val="center"/>
            </w:pPr>
            <w:r/>
            <w:r>
              <w:rPr>
                <w:b/>
                <w:color w:val="FFFFFF"/>
                <w:sz w:val="13"/>
              </w:rPr>
              <w:t>SP</w:t>
            </w:r>
          </w:p>
        </w:tc>
        <w:tc>
          <w:tcPr>
            <w:tcW w:type="dxa" w:w="1096"/>
            <w:vAlign w:val="center"/>
            <w:shd w:fill="1F4E79"/>
          </w:tcPr>
          <w:p>
            <w:pPr>
              <w:jc w:val="center"/>
            </w:pPr>
            <w:r/>
            <w:r>
              <w:rPr>
                <w:b/>
                <w:color w:val="FFFFFF"/>
                <w:sz w:val="13"/>
              </w:rPr>
              <w:t>n</w:t>
            </w:r>
          </w:p>
        </w:tc>
        <w:tc>
          <w:tcPr>
            <w:tcW w:type="dxa" w:w="1096"/>
            <w:vAlign w:val="center"/>
            <w:shd w:fill="1F4E79"/>
          </w:tcPr>
          <w:p>
            <w:pPr>
              <w:jc w:val="center"/>
            </w:pPr>
            <w:r/>
            <w:r>
              <w:rPr>
                <w:b/>
                <w:color w:val="FFFFFF"/>
                <w:sz w:val="13"/>
              </w:rPr>
              <w:t>Akurat (%)</w:t>
            </w:r>
          </w:p>
        </w:tc>
        <w:tc>
          <w:tcPr>
            <w:tcW w:type="dxa" w:w="1096"/>
            <w:vAlign w:val="center"/>
            <w:shd w:fill="1F4E79"/>
          </w:tcPr>
          <w:p>
            <w:pPr>
              <w:jc w:val="center"/>
            </w:pPr>
            <w:r/>
            <w:r>
              <w:rPr>
                <w:b/>
                <w:color w:val="FFFFFF"/>
                <w:sz w:val="13"/>
              </w:rPr>
              <w:t>Mean Abs Error (g)</w:t>
            </w:r>
          </w:p>
        </w:tc>
        <w:tc>
          <w:tcPr>
            <w:tcW w:type="dxa" w:w="1096"/>
            <w:vAlign w:val="center"/>
            <w:shd w:fill="1F4E79"/>
          </w:tcPr>
          <w:p>
            <w:pPr>
              <w:jc w:val="center"/>
            </w:pPr>
            <w:r/>
            <w:r>
              <w:rPr>
                <w:b/>
                <w:color w:val="FFFFFF"/>
                <w:sz w:val="13"/>
              </w:rPr>
              <w:t>SD Abs Error (g)</w:t>
            </w:r>
          </w:p>
        </w:tc>
        <w:tc>
          <w:tcPr>
            <w:tcW w:type="dxa" w:w="1096"/>
            <w:vAlign w:val="center"/>
            <w:shd w:fill="1F4E79"/>
          </w:tcPr>
          <w:p>
            <w:pPr>
              <w:jc w:val="center"/>
            </w:pPr>
            <w:r/>
            <w:r>
              <w:rPr>
                <w:b/>
                <w:color w:val="FFFFFF"/>
                <w:sz w:val="13"/>
              </w:rPr>
              <w:t>Durasi (s)</w:t>
            </w:r>
          </w:p>
        </w:tc>
        <w:tc>
          <w:tcPr>
            <w:tcW w:type="dxa" w:w="1096"/>
            <w:vAlign w:val="center"/>
            <w:shd w:fill="1F4E79"/>
          </w:tcPr>
          <w:p>
            <w:pPr>
              <w:jc w:val="center"/>
            </w:pPr>
            <w:r/>
            <w:r>
              <w:rPr>
                <w:b/>
                <w:color w:val="FFFFFF"/>
                <w:sz w:val="13"/>
              </w:rPr>
              <w:t>Bridging</w:t>
            </w:r>
          </w:p>
        </w:tc>
        <w:tc>
          <w:tcPr>
            <w:tcW w:type="dxa" w:w="1096"/>
            <w:vAlign w:val="center"/>
            <w:shd w:fill="1F4E79"/>
          </w:tcPr>
          <w:p>
            <w:pPr>
              <w:jc w:val="center"/>
            </w:pPr>
            <w:r/>
            <w:r>
              <w:rPr>
                <w:b/>
                <w:color w:val="FFFFFF"/>
                <w:sz w:val="13"/>
              </w:rPr>
              <w:t>Max Abs Error (g)</w:t>
            </w:r>
          </w:p>
        </w:tc>
      </w:tr>
      <w:tr>
        <w:tc>
          <w:tcPr>
            <w:tcW w:type="dxa" w:w="1096"/>
            <w:vAlign w:val="center"/>
          </w:tcPr>
          <w:p>
            <w:pPr>
              <w:jc w:val="center"/>
            </w:pPr>
            <w:r/>
            <w:r>
              <w:rPr>
                <w:b w:val="0"/>
                <w:sz w:val="13"/>
              </w:rPr>
              <w:t>Fixed PID</w:t>
            </w:r>
          </w:p>
        </w:tc>
        <w:tc>
          <w:tcPr>
            <w:tcW w:type="dxa" w:w="1096"/>
            <w:vAlign w:val="center"/>
          </w:tcPr>
          <w:p>
            <w:pPr>
              <w:jc w:val="center"/>
            </w:pPr>
            <w:r/>
            <w:r>
              <w:rPr>
                <w:b w:val="0"/>
                <w:sz w:val="13"/>
              </w:rPr>
              <w:t>10</w:t>
            </w:r>
          </w:p>
        </w:tc>
        <w:tc>
          <w:tcPr>
            <w:tcW w:type="dxa" w:w="1096"/>
            <w:vAlign w:val="center"/>
          </w:tcPr>
          <w:p>
            <w:pPr>
              <w:jc w:val="center"/>
            </w:pPr>
            <w:r/>
            <w:r>
              <w:rPr>
                <w:b w:val="0"/>
                <w:sz w:val="13"/>
              </w:rPr>
              <w:t>6</w:t>
            </w:r>
          </w:p>
        </w:tc>
        <w:tc>
          <w:tcPr>
            <w:tcW w:type="dxa" w:w="1096"/>
            <w:vAlign w:val="center"/>
          </w:tcPr>
          <w:p>
            <w:pPr>
              <w:jc w:val="center"/>
            </w:pPr>
            <w:r/>
            <w:r>
              <w:rPr>
                <w:b w:val="0"/>
                <w:sz w:val="13"/>
              </w:rPr>
              <w:t>66.67</w:t>
            </w:r>
          </w:p>
        </w:tc>
        <w:tc>
          <w:tcPr>
            <w:tcW w:type="dxa" w:w="1096"/>
            <w:vAlign w:val="center"/>
          </w:tcPr>
          <w:p>
            <w:pPr>
              <w:jc w:val="center"/>
            </w:pPr>
            <w:r/>
            <w:r>
              <w:rPr>
                <w:b w:val="0"/>
                <w:sz w:val="13"/>
              </w:rPr>
              <w:t>0.368</w:t>
            </w:r>
          </w:p>
        </w:tc>
        <w:tc>
          <w:tcPr>
            <w:tcW w:type="dxa" w:w="1096"/>
            <w:vAlign w:val="center"/>
          </w:tcPr>
          <w:p>
            <w:pPr>
              <w:jc w:val="center"/>
            </w:pPr>
            <w:r/>
            <w:r>
              <w:rPr>
                <w:b w:val="0"/>
                <w:sz w:val="13"/>
              </w:rPr>
              <w:t>0.361</w:t>
            </w:r>
          </w:p>
        </w:tc>
        <w:tc>
          <w:tcPr>
            <w:tcW w:type="dxa" w:w="1096"/>
            <w:vAlign w:val="center"/>
          </w:tcPr>
          <w:p>
            <w:pPr>
              <w:jc w:val="center"/>
            </w:pPr>
            <w:r/>
            <w:r>
              <w:rPr>
                <w:b w:val="0"/>
                <w:sz w:val="13"/>
              </w:rPr>
              <w:t>32.40</w:t>
            </w:r>
          </w:p>
        </w:tc>
        <w:tc>
          <w:tcPr>
            <w:tcW w:type="dxa" w:w="1096"/>
            <w:vAlign w:val="center"/>
          </w:tcPr>
          <w:p>
            <w:pPr>
              <w:jc w:val="center"/>
            </w:pPr>
            <w:r/>
            <w:r>
              <w:rPr>
                <w:b w:val="0"/>
                <w:sz w:val="13"/>
              </w:rPr>
              <w:t>2.17</w:t>
            </w:r>
          </w:p>
        </w:tc>
        <w:tc>
          <w:tcPr>
            <w:tcW w:type="dxa" w:w="1096"/>
            <w:vAlign w:val="center"/>
          </w:tcPr>
          <w:p>
            <w:pPr>
              <w:jc w:val="center"/>
            </w:pPr>
            <w:r/>
            <w:r>
              <w:rPr>
                <w:b w:val="0"/>
                <w:sz w:val="13"/>
              </w:rPr>
              <w:t>0.90</w:t>
            </w:r>
          </w:p>
        </w:tc>
      </w:tr>
      <w:tr>
        <w:tc>
          <w:tcPr>
            <w:tcW w:type="dxa" w:w="1096"/>
            <w:vAlign w:val="center"/>
          </w:tcPr>
          <w:p>
            <w:pPr>
              <w:jc w:val="center"/>
            </w:pPr>
            <w:r/>
            <w:r>
              <w:rPr>
                <w:b w:val="0"/>
                <w:sz w:val="13"/>
              </w:rPr>
              <w:t>Fixed PID</w:t>
            </w:r>
          </w:p>
        </w:tc>
        <w:tc>
          <w:tcPr>
            <w:tcW w:type="dxa" w:w="1096"/>
            <w:vAlign w:val="center"/>
          </w:tcPr>
          <w:p>
            <w:pPr>
              <w:jc w:val="center"/>
            </w:pPr>
            <w:r/>
            <w:r>
              <w:rPr>
                <w:b w:val="0"/>
                <w:sz w:val="13"/>
              </w:rPr>
              <w:t>15</w:t>
            </w:r>
          </w:p>
        </w:tc>
        <w:tc>
          <w:tcPr>
            <w:tcW w:type="dxa" w:w="1096"/>
            <w:vAlign w:val="center"/>
          </w:tcPr>
          <w:p>
            <w:pPr>
              <w:jc w:val="center"/>
            </w:pPr>
            <w:r/>
            <w:r>
              <w:rPr>
                <w:b w:val="0"/>
                <w:sz w:val="13"/>
              </w:rPr>
              <w:t>6</w:t>
            </w:r>
          </w:p>
        </w:tc>
        <w:tc>
          <w:tcPr>
            <w:tcW w:type="dxa" w:w="1096"/>
            <w:vAlign w:val="center"/>
          </w:tcPr>
          <w:p>
            <w:pPr>
              <w:jc w:val="center"/>
            </w:pPr>
            <w:r/>
            <w:r>
              <w:rPr>
                <w:b w:val="0"/>
                <w:sz w:val="13"/>
              </w:rPr>
              <w:t>66.67</w:t>
            </w:r>
          </w:p>
        </w:tc>
        <w:tc>
          <w:tcPr>
            <w:tcW w:type="dxa" w:w="1096"/>
            <w:vAlign w:val="center"/>
          </w:tcPr>
          <w:p>
            <w:pPr>
              <w:jc w:val="center"/>
            </w:pPr>
            <w:r/>
            <w:r>
              <w:rPr>
                <w:b w:val="0"/>
                <w:sz w:val="13"/>
              </w:rPr>
              <w:t>0.560</w:t>
            </w:r>
          </w:p>
        </w:tc>
        <w:tc>
          <w:tcPr>
            <w:tcW w:type="dxa" w:w="1096"/>
            <w:vAlign w:val="center"/>
          </w:tcPr>
          <w:p>
            <w:pPr>
              <w:jc w:val="center"/>
            </w:pPr>
            <w:r/>
            <w:r>
              <w:rPr>
                <w:b w:val="0"/>
                <w:sz w:val="13"/>
              </w:rPr>
              <w:t>0.568</w:t>
            </w:r>
          </w:p>
        </w:tc>
        <w:tc>
          <w:tcPr>
            <w:tcW w:type="dxa" w:w="1096"/>
            <w:vAlign w:val="center"/>
          </w:tcPr>
          <w:p>
            <w:pPr>
              <w:jc w:val="center"/>
            </w:pPr>
            <w:r/>
            <w:r>
              <w:rPr>
                <w:b w:val="0"/>
                <w:sz w:val="13"/>
              </w:rPr>
              <w:t>28.14</w:t>
            </w:r>
          </w:p>
        </w:tc>
        <w:tc>
          <w:tcPr>
            <w:tcW w:type="dxa" w:w="1096"/>
            <w:vAlign w:val="center"/>
          </w:tcPr>
          <w:p>
            <w:pPr>
              <w:jc w:val="center"/>
            </w:pPr>
            <w:r/>
            <w:r>
              <w:rPr>
                <w:b w:val="0"/>
                <w:sz w:val="13"/>
              </w:rPr>
              <w:t>2.00</w:t>
            </w:r>
          </w:p>
        </w:tc>
        <w:tc>
          <w:tcPr>
            <w:tcW w:type="dxa" w:w="1096"/>
            <w:vAlign w:val="center"/>
          </w:tcPr>
          <w:p>
            <w:pPr>
              <w:jc w:val="center"/>
            </w:pPr>
            <w:r/>
            <w:r>
              <w:rPr>
                <w:b w:val="0"/>
                <w:sz w:val="13"/>
              </w:rPr>
              <w:t>1.39</w:t>
            </w:r>
          </w:p>
        </w:tc>
      </w:tr>
      <w:tr>
        <w:tc>
          <w:tcPr>
            <w:tcW w:type="dxa" w:w="1096"/>
            <w:vAlign w:val="center"/>
          </w:tcPr>
          <w:p>
            <w:pPr>
              <w:jc w:val="center"/>
            </w:pPr>
            <w:r/>
            <w:r>
              <w:rPr>
                <w:b w:val="0"/>
                <w:sz w:val="13"/>
              </w:rPr>
              <w:t>Fixed PID</w:t>
            </w:r>
          </w:p>
        </w:tc>
        <w:tc>
          <w:tcPr>
            <w:tcW w:type="dxa" w:w="1096"/>
            <w:vAlign w:val="center"/>
          </w:tcPr>
          <w:p>
            <w:pPr>
              <w:jc w:val="center"/>
            </w:pPr>
            <w:r/>
            <w:r>
              <w:rPr>
                <w:b w:val="0"/>
                <w:sz w:val="13"/>
              </w:rPr>
              <w:t>20</w:t>
            </w:r>
          </w:p>
        </w:tc>
        <w:tc>
          <w:tcPr>
            <w:tcW w:type="dxa" w:w="1096"/>
            <w:vAlign w:val="center"/>
          </w:tcPr>
          <w:p>
            <w:pPr>
              <w:jc w:val="center"/>
            </w:pPr>
            <w:r/>
            <w:r>
              <w:rPr>
                <w:b w:val="0"/>
                <w:sz w:val="13"/>
              </w:rPr>
              <w:t>15</w:t>
            </w:r>
          </w:p>
        </w:tc>
        <w:tc>
          <w:tcPr>
            <w:tcW w:type="dxa" w:w="1096"/>
            <w:vAlign w:val="center"/>
          </w:tcPr>
          <w:p>
            <w:pPr>
              <w:jc w:val="center"/>
            </w:pPr>
            <w:r/>
            <w:r>
              <w:rPr>
                <w:b w:val="0"/>
                <w:sz w:val="13"/>
              </w:rPr>
              <w:t>86.67</w:t>
            </w:r>
          </w:p>
        </w:tc>
        <w:tc>
          <w:tcPr>
            <w:tcW w:type="dxa" w:w="1096"/>
            <w:vAlign w:val="center"/>
          </w:tcPr>
          <w:p>
            <w:pPr>
              <w:jc w:val="center"/>
            </w:pPr>
            <w:r/>
            <w:r>
              <w:rPr>
                <w:b w:val="0"/>
                <w:sz w:val="13"/>
              </w:rPr>
              <w:t>0.456</w:t>
            </w:r>
          </w:p>
        </w:tc>
        <w:tc>
          <w:tcPr>
            <w:tcW w:type="dxa" w:w="1096"/>
            <w:vAlign w:val="center"/>
          </w:tcPr>
          <w:p>
            <w:pPr>
              <w:jc w:val="center"/>
            </w:pPr>
            <w:r/>
            <w:r>
              <w:rPr>
                <w:b w:val="0"/>
                <w:sz w:val="13"/>
              </w:rPr>
              <w:t>0.505</w:t>
            </w:r>
          </w:p>
        </w:tc>
        <w:tc>
          <w:tcPr>
            <w:tcW w:type="dxa" w:w="1096"/>
            <w:vAlign w:val="center"/>
          </w:tcPr>
          <w:p>
            <w:pPr>
              <w:jc w:val="center"/>
            </w:pPr>
            <w:r/>
            <w:r>
              <w:rPr>
                <w:b w:val="0"/>
                <w:sz w:val="13"/>
              </w:rPr>
              <w:t>36.78</w:t>
            </w:r>
          </w:p>
        </w:tc>
        <w:tc>
          <w:tcPr>
            <w:tcW w:type="dxa" w:w="1096"/>
            <w:vAlign w:val="center"/>
          </w:tcPr>
          <w:p>
            <w:pPr>
              <w:jc w:val="center"/>
            </w:pPr>
            <w:r/>
            <w:r>
              <w:rPr>
                <w:b w:val="0"/>
                <w:sz w:val="13"/>
              </w:rPr>
              <w:t>3.13</w:t>
            </w:r>
          </w:p>
        </w:tc>
        <w:tc>
          <w:tcPr>
            <w:tcW w:type="dxa" w:w="1096"/>
            <w:vAlign w:val="center"/>
          </w:tcPr>
          <w:p>
            <w:pPr>
              <w:jc w:val="center"/>
            </w:pPr>
            <w:r/>
            <w:r>
              <w:rPr>
                <w:b w:val="0"/>
                <w:sz w:val="13"/>
              </w:rPr>
              <w:t>1.68</w:t>
            </w:r>
          </w:p>
        </w:tc>
      </w:tr>
      <w:tr>
        <w:tc>
          <w:tcPr>
            <w:tcW w:type="dxa" w:w="1096"/>
            <w:vAlign w:val="center"/>
          </w:tcPr>
          <w:p>
            <w:pPr>
              <w:jc w:val="center"/>
            </w:pPr>
            <w:r/>
            <w:r>
              <w:rPr>
                <w:b w:val="0"/>
                <w:sz w:val="13"/>
              </w:rPr>
              <w:t>Fixed PID</w:t>
            </w:r>
          </w:p>
        </w:tc>
        <w:tc>
          <w:tcPr>
            <w:tcW w:type="dxa" w:w="1096"/>
            <w:vAlign w:val="center"/>
          </w:tcPr>
          <w:p>
            <w:pPr>
              <w:jc w:val="center"/>
            </w:pPr>
            <w:r/>
            <w:r>
              <w:rPr>
                <w:b w:val="0"/>
                <w:sz w:val="13"/>
              </w:rPr>
              <w:t>25</w:t>
            </w:r>
          </w:p>
        </w:tc>
        <w:tc>
          <w:tcPr>
            <w:tcW w:type="dxa" w:w="1096"/>
            <w:vAlign w:val="center"/>
          </w:tcPr>
          <w:p>
            <w:pPr>
              <w:jc w:val="center"/>
            </w:pPr>
            <w:r/>
            <w:r>
              <w:rPr>
                <w:b w:val="0"/>
                <w:sz w:val="13"/>
              </w:rPr>
              <w:t>9</w:t>
            </w:r>
          </w:p>
        </w:tc>
        <w:tc>
          <w:tcPr>
            <w:tcW w:type="dxa" w:w="1096"/>
            <w:vAlign w:val="center"/>
          </w:tcPr>
          <w:p>
            <w:pPr>
              <w:jc w:val="center"/>
            </w:pPr>
            <w:r/>
            <w:r>
              <w:rPr>
                <w:b w:val="0"/>
                <w:sz w:val="13"/>
              </w:rPr>
              <w:t>88.89</w:t>
            </w:r>
          </w:p>
        </w:tc>
        <w:tc>
          <w:tcPr>
            <w:tcW w:type="dxa" w:w="1096"/>
            <w:vAlign w:val="center"/>
          </w:tcPr>
          <w:p>
            <w:pPr>
              <w:jc w:val="center"/>
            </w:pPr>
            <w:r/>
            <w:r>
              <w:rPr>
                <w:b w:val="0"/>
                <w:sz w:val="13"/>
              </w:rPr>
              <w:t>0.769</w:t>
            </w:r>
          </w:p>
        </w:tc>
        <w:tc>
          <w:tcPr>
            <w:tcW w:type="dxa" w:w="1096"/>
            <w:vAlign w:val="center"/>
          </w:tcPr>
          <w:p>
            <w:pPr>
              <w:jc w:val="center"/>
            </w:pPr>
            <w:r/>
            <w:r>
              <w:rPr>
                <w:b w:val="0"/>
                <w:sz w:val="13"/>
              </w:rPr>
              <w:t>0.603</w:t>
            </w:r>
          </w:p>
        </w:tc>
        <w:tc>
          <w:tcPr>
            <w:tcW w:type="dxa" w:w="1096"/>
            <w:vAlign w:val="center"/>
          </w:tcPr>
          <w:p>
            <w:pPr>
              <w:jc w:val="center"/>
            </w:pPr>
            <w:r/>
            <w:r>
              <w:rPr>
                <w:b w:val="0"/>
                <w:sz w:val="13"/>
              </w:rPr>
              <w:t>37.02</w:t>
            </w:r>
          </w:p>
        </w:tc>
        <w:tc>
          <w:tcPr>
            <w:tcW w:type="dxa" w:w="1096"/>
            <w:vAlign w:val="center"/>
          </w:tcPr>
          <w:p>
            <w:pPr>
              <w:jc w:val="center"/>
            </w:pPr>
            <w:r/>
            <w:r>
              <w:rPr>
                <w:b w:val="0"/>
                <w:sz w:val="13"/>
              </w:rPr>
              <w:t>2.00</w:t>
            </w:r>
          </w:p>
        </w:tc>
        <w:tc>
          <w:tcPr>
            <w:tcW w:type="dxa" w:w="1096"/>
            <w:vAlign w:val="center"/>
          </w:tcPr>
          <w:p>
            <w:pPr>
              <w:jc w:val="center"/>
            </w:pPr>
            <w:r/>
            <w:r>
              <w:rPr>
                <w:b w:val="0"/>
                <w:sz w:val="13"/>
              </w:rPr>
              <w:t>2.00</w:t>
            </w:r>
          </w:p>
        </w:tc>
      </w:tr>
      <w:tr>
        <w:tc>
          <w:tcPr>
            <w:tcW w:type="dxa" w:w="1096"/>
            <w:vAlign w:val="center"/>
          </w:tcPr>
          <w:p>
            <w:pPr>
              <w:jc w:val="center"/>
            </w:pPr>
            <w:r/>
            <w:r>
              <w:rPr>
                <w:b w:val="0"/>
                <w:sz w:val="13"/>
              </w:rPr>
              <w:t>Fixed PID</w:t>
            </w:r>
          </w:p>
        </w:tc>
        <w:tc>
          <w:tcPr>
            <w:tcW w:type="dxa" w:w="1096"/>
            <w:vAlign w:val="center"/>
          </w:tcPr>
          <w:p>
            <w:pPr>
              <w:jc w:val="center"/>
            </w:pPr>
            <w:r/>
            <w:r>
              <w:rPr>
                <w:b w:val="0"/>
                <w:sz w:val="13"/>
              </w:rPr>
              <w:t>30</w:t>
            </w:r>
          </w:p>
        </w:tc>
        <w:tc>
          <w:tcPr>
            <w:tcW w:type="dxa" w:w="1096"/>
            <w:vAlign w:val="center"/>
          </w:tcPr>
          <w:p>
            <w:pPr>
              <w:jc w:val="center"/>
            </w:pPr>
            <w:r/>
            <w:r>
              <w:rPr>
                <w:b w:val="0"/>
                <w:sz w:val="13"/>
              </w:rPr>
              <w:t>6</w:t>
            </w:r>
          </w:p>
        </w:tc>
        <w:tc>
          <w:tcPr>
            <w:tcW w:type="dxa" w:w="1096"/>
            <w:vAlign w:val="center"/>
          </w:tcPr>
          <w:p>
            <w:pPr>
              <w:jc w:val="center"/>
            </w:pPr>
            <w:r/>
            <w:r>
              <w:rPr>
                <w:b w:val="0"/>
                <w:sz w:val="13"/>
              </w:rPr>
              <w:t>83.33</w:t>
            </w:r>
          </w:p>
        </w:tc>
        <w:tc>
          <w:tcPr>
            <w:tcW w:type="dxa" w:w="1096"/>
            <w:vAlign w:val="center"/>
          </w:tcPr>
          <w:p>
            <w:pPr>
              <w:jc w:val="center"/>
            </w:pPr>
            <w:r/>
            <w:r>
              <w:rPr>
                <w:b w:val="0"/>
                <w:sz w:val="13"/>
              </w:rPr>
              <w:t>0.893</w:t>
            </w:r>
          </w:p>
        </w:tc>
        <w:tc>
          <w:tcPr>
            <w:tcW w:type="dxa" w:w="1096"/>
            <w:vAlign w:val="center"/>
          </w:tcPr>
          <w:p>
            <w:pPr>
              <w:jc w:val="center"/>
            </w:pPr>
            <w:r/>
            <w:r>
              <w:rPr>
                <w:b w:val="0"/>
                <w:sz w:val="13"/>
              </w:rPr>
              <w:t>0.892</w:t>
            </w:r>
          </w:p>
        </w:tc>
        <w:tc>
          <w:tcPr>
            <w:tcW w:type="dxa" w:w="1096"/>
            <w:vAlign w:val="center"/>
          </w:tcPr>
          <w:p>
            <w:pPr>
              <w:jc w:val="center"/>
            </w:pPr>
            <w:r/>
            <w:r>
              <w:rPr>
                <w:b w:val="0"/>
                <w:sz w:val="13"/>
              </w:rPr>
              <w:t>35.93</w:t>
            </w:r>
          </w:p>
        </w:tc>
        <w:tc>
          <w:tcPr>
            <w:tcW w:type="dxa" w:w="1096"/>
            <w:vAlign w:val="center"/>
          </w:tcPr>
          <w:p>
            <w:pPr>
              <w:jc w:val="center"/>
            </w:pPr>
            <w:r/>
            <w:r>
              <w:rPr>
                <w:b w:val="0"/>
                <w:sz w:val="13"/>
              </w:rPr>
              <w:t>2.50</w:t>
            </w:r>
          </w:p>
        </w:tc>
        <w:tc>
          <w:tcPr>
            <w:tcW w:type="dxa" w:w="1096"/>
            <w:vAlign w:val="center"/>
          </w:tcPr>
          <w:p>
            <w:pPr>
              <w:jc w:val="center"/>
            </w:pPr>
            <w:r/>
            <w:r>
              <w:rPr>
                <w:b w:val="0"/>
                <w:sz w:val="13"/>
              </w:rPr>
              <w:t>2.57</w:t>
            </w:r>
          </w:p>
        </w:tc>
      </w:tr>
      <w:tr>
        <w:tc>
          <w:tcPr>
            <w:tcW w:type="dxa" w:w="1096"/>
            <w:vAlign w:val="center"/>
          </w:tcPr>
          <w:p>
            <w:pPr>
              <w:jc w:val="center"/>
            </w:pPr>
            <w:r/>
            <w:r>
              <w:rPr>
                <w:b w:val="0"/>
                <w:sz w:val="13"/>
              </w:rPr>
              <w:t>GS PID</w:t>
            </w:r>
          </w:p>
        </w:tc>
        <w:tc>
          <w:tcPr>
            <w:tcW w:type="dxa" w:w="1096"/>
            <w:vAlign w:val="center"/>
          </w:tcPr>
          <w:p>
            <w:pPr>
              <w:jc w:val="center"/>
            </w:pPr>
            <w:r/>
            <w:r>
              <w:rPr>
                <w:b w:val="0"/>
                <w:sz w:val="13"/>
              </w:rPr>
              <w:t>10</w:t>
            </w:r>
          </w:p>
        </w:tc>
        <w:tc>
          <w:tcPr>
            <w:tcW w:type="dxa" w:w="1096"/>
            <w:vAlign w:val="center"/>
          </w:tcPr>
          <w:p>
            <w:pPr>
              <w:jc w:val="center"/>
            </w:pPr>
            <w:r/>
            <w:r>
              <w:rPr>
                <w:b w:val="0"/>
                <w:sz w:val="13"/>
              </w:rPr>
              <w:t>5</w:t>
            </w:r>
          </w:p>
        </w:tc>
        <w:tc>
          <w:tcPr>
            <w:tcW w:type="dxa" w:w="1096"/>
            <w:vAlign w:val="center"/>
          </w:tcPr>
          <w:p>
            <w:pPr>
              <w:jc w:val="center"/>
            </w:pPr>
            <w:r/>
            <w:r>
              <w:rPr>
                <w:b w:val="0"/>
                <w:sz w:val="13"/>
              </w:rPr>
              <w:t>40.00</w:t>
            </w:r>
          </w:p>
        </w:tc>
        <w:tc>
          <w:tcPr>
            <w:tcW w:type="dxa" w:w="1096"/>
            <w:vAlign w:val="center"/>
          </w:tcPr>
          <w:p>
            <w:pPr>
              <w:jc w:val="center"/>
            </w:pPr>
            <w:r/>
            <w:r>
              <w:rPr>
                <w:b w:val="0"/>
                <w:sz w:val="13"/>
              </w:rPr>
              <w:t>0.612</w:t>
            </w:r>
          </w:p>
        </w:tc>
        <w:tc>
          <w:tcPr>
            <w:tcW w:type="dxa" w:w="1096"/>
            <w:vAlign w:val="center"/>
          </w:tcPr>
          <w:p>
            <w:pPr>
              <w:jc w:val="center"/>
            </w:pPr>
            <w:r/>
            <w:r>
              <w:rPr>
                <w:b w:val="0"/>
                <w:sz w:val="13"/>
              </w:rPr>
              <w:t>0.376</w:t>
            </w:r>
          </w:p>
        </w:tc>
        <w:tc>
          <w:tcPr>
            <w:tcW w:type="dxa" w:w="1096"/>
            <w:vAlign w:val="center"/>
          </w:tcPr>
          <w:p>
            <w:pPr>
              <w:jc w:val="center"/>
            </w:pPr>
            <w:r/>
            <w:r>
              <w:rPr>
                <w:b w:val="0"/>
                <w:sz w:val="13"/>
              </w:rPr>
              <w:t>29.26</w:t>
            </w:r>
          </w:p>
        </w:tc>
        <w:tc>
          <w:tcPr>
            <w:tcW w:type="dxa" w:w="1096"/>
            <w:vAlign w:val="center"/>
          </w:tcPr>
          <w:p>
            <w:pPr>
              <w:jc w:val="center"/>
            </w:pPr>
            <w:r/>
            <w:r>
              <w:rPr>
                <w:b w:val="0"/>
                <w:sz w:val="13"/>
              </w:rPr>
              <w:t>1.00</w:t>
            </w:r>
          </w:p>
        </w:tc>
        <w:tc>
          <w:tcPr>
            <w:tcW w:type="dxa" w:w="1096"/>
            <w:vAlign w:val="center"/>
          </w:tcPr>
          <w:p>
            <w:pPr>
              <w:jc w:val="center"/>
            </w:pPr>
            <w:r/>
            <w:r>
              <w:rPr>
                <w:b w:val="0"/>
                <w:sz w:val="13"/>
              </w:rPr>
              <w:t>0.98</w:t>
            </w:r>
          </w:p>
        </w:tc>
      </w:tr>
      <w:tr>
        <w:tc>
          <w:tcPr>
            <w:tcW w:type="dxa" w:w="1096"/>
            <w:vAlign w:val="center"/>
          </w:tcPr>
          <w:p>
            <w:pPr>
              <w:jc w:val="center"/>
            </w:pPr>
            <w:r/>
            <w:r>
              <w:rPr>
                <w:b w:val="0"/>
                <w:sz w:val="13"/>
              </w:rPr>
              <w:t>GS PID</w:t>
            </w:r>
          </w:p>
        </w:tc>
        <w:tc>
          <w:tcPr>
            <w:tcW w:type="dxa" w:w="1096"/>
            <w:vAlign w:val="center"/>
          </w:tcPr>
          <w:p>
            <w:pPr>
              <w:jc w:val="center"/>
            </w:pPr>
            <w:r/>
            <w:r>
              <w:rPr>
                <w:b w:val="0"/>
                <w:sz w:val="13"/>
              </w:rPr>
              <w:t>15</w:t>
            </w:r>
          </w:p>
        </w:tc>
        <w:tc>
          <w:tcPr>
            <w:tcW w:type="dxa" w:w="1096"/>
            <w:vAlign w:val="center"/>
          </w:tcPr>
          <w:p>
            <w:pPr>
              <w:jc w:val="center"/>
            </w:pPr>
            <w:r/>
            <w:r>
              <w:rPr>
                <w:b w:val="0"/>
                <w:sz w:val="13"/>
              </w:rPr>
              <w:t>15</w:t>
            </w:r>
          </w:p>
        </w:tc>
        <w:tc>
          <w:tcPr>
            <w:tcW w:type="dxa" w:w="1096"/>
            <w:vAlign w:val="center"/>
          </w:tcPr>
          <w:p>
            <w:pPr>
              <w:jc w:val="center"/>
            </w:pPr>
            <w:r/>
            <w:r>
              <w:rPr>
                <w:b w:val="0"/>
                <w:sz w:val="13"/>
              </w:rPr>
              <w:t>93.33</w:t>
            </w:r>
          </w:p>
        </w:tc>
        <w:tc>
          <w:tcPr>
            <w:tcW w:type="dxa" w:w="1096"/>
            <w:vAlign w:val="center"/>
          </w:tcPr>
          <w:p>
            <w:pPr>
              <w:jc w:val="center"/>
            </w:pPr>
            <w:r/>
            <w:r>
              <w:rPr>
                <w:b w:val="0"/>
                <w:sz w:val="13"/>
              </w:rPr>
              <w:t>0.362</w:t>
            </w:r>
          </w:p>
        </w:tc>
        <w:tc>
          <w:tcPr>
            <w:tcW w:type="dxa" w:w="1096"/>
            <w:vAlign w:val="center"/>
          </w:tcPr>
          <w:p>
            <w:pPr>
              <w:jc w:val="center"/>
            </w:pPr>
            <w:r/>
            <w:r>
              <w:rPr>
                <w:b w:val="0"/>
                <w:sz w:val="13"/>
              </w:rPr>
              <w:t>0.296</w:t>
            </w:r>
          </w:p>
        </w:tc>
        <w:tc>
          <w:tcPr>
            <w:tcW w:type="dxa" w:w="1096"/>
            <w:vAlign w:val="center"/>
          </w:tcPr>
          <w:p>
            <w:pPr>
              <w:jc w:val="center"/>
            </w:pPr>
            <w:r/>
            <w:r>
              <w:rPr>
                <w:b w:val="0"/>
                <w:sz w:val="13"/>
              </w:rPr>
              <w:t>28.14</w:t>
            </w:r>
          </w:p>
        </w:tc>
        <w:tc>
          <w:tcPr>
            <w:tcW w:type="dxa" w:w="1096"/>
            <w:vAlign w:val="center"/>
          </w:tcPr>
          <w:p>
            <w:pPr>
              <w:jc w:val="center"/>
            </w:pPr>
            <w:r/>
            <w:r>
              <w:rPr>
                <w:b w:val="0"/>
                <w:sz w:val="13"/>
              </w:rPr>
              <w:t>1.80</w:t>
            </w:r>
          </w:p>
        </w:tc>
        <w:tc>
          <w:tcPr>
            <w:tcW w:type="dxa" w:w="1096"/>
            <w:vAlign w:val="center"/>
          </w:tcPr>
          <w:p>
            <w:pPr>
              <w:jc w:val="center"/>
            </w:pPr>
            <w:r/>
            <w:r>
              <w:rPr>
                <w:b w:val="0"/>
                <w:sz w:val="13"/>
              </w:rPr>
              <w:t>1.01</w:t>
            </w:r>
          </w:p>
        </w:tc>
      </w:tr>
      <w:tr>
        <w:tc>
          <w:tcPr>
            <w:tcW w:type="dxa" w:w="1096"/>
            <w:vAlign w:val="center"/>
          </w:tcPr>
          <w:p>
            <w:pPr>
              <w:jc w:val="center"/>
            </w:pPr>
            <w:r/>
            <w:r>
              <w:rPr>
                <w:b w:val="0"/>
                <w:sz w:val="13"/>
              </w:rPr>
              <w:t>GS PID</w:t>
            </w:r>
          </w:p>
        </w:tc>
        <w:tc>
          <w:tcPr>
            <w:tcW w:type="dxa" w:w="1096"/>
            <w:vAlign w:val="center"/>
          </w:tcPr>
          <w:p>
            <w:pPr>
              <w:jc w:val="center"/>
            </w:pPr>
            <w:r/>
            <w:r>
              <w:rPr>
                <w:b w:val="0"/>
                <w:sz w:val="13"/>
              </w:rPr>
              <w:t>20</w:t>
            </w:r>
          </w:p>
        </w:tc>
        <w:tc>
          <w:tcPr>
            <w:tcW w:type="dxa" w:w="1096"/>
            <w:vAlign w:val="center"/>
          </w:tcPr>
          <w:p>
            <w:pPr>
              <w:jc w:val="center"/>
            </w:pPr>
            <w:r/>
            <w:r>
              <w:rPr>
                <w:b w:val="0"/>
                <w:sz w:val="13"/>
              </w:rPr>
              <w:t>16</w:t>
            </w:r>
          </w:p>
        </w:tc>
        <w:tc>
          <w:tcPr>
            <w:tcW w:type="dxa" w:w="1096"/>
            <w:vAlign w:val="center"/>
          </w:tcPr>
          <w:p>
            <w:pPr>
              <w:jc w:val="center"/>
            </w:pPr>
            <w:r/>
            <w:r>
              <w:rPr>
                <w:b w:val="0"/>
                <w:sz w:val="13"/>
              </w:rPr>
              <w:t>93.75</w:t>
            </w:r>
          </w:p>
        </w:tc>
        <w:tc>
          <w:tcPr>
            <w:tcW w:type="dxa" w:w="1096"/>
            <w:vAlign w:val="center"/>
          </w:tcPr>
          <w:p>
            <w:pPr>
              <w:jc w:val="center"/>
            </w:pPr>
            <w:r/>
            <w:r>
              <w:rPr>
                <w:b w:val="0"/>
                <w:sz w:val="13"/>
              </w:rPr>
              <w:t>0.369</w:t>
            </w:r>
          </w:p>
        </w:tc>
        <w:tc>
          <w:tcPr>
            <w:tcW w:type="dxa" w:w="1096"/>
            <w:vAlign w:val="center"/>
          </w:tcPr>
          <w:p>
            <w:pPr>
              <w:jc w:val="center"/>
            </w:pPr>
            <w:r/>
            <w:r>
              <w:rPr>
                <w:b w:val="0"/>
                <w:sz w:val="13"/>
              </w:rPr>
              <w:t>0.318</w:t>
            </w:r>
          </w:p>
        </w:tc>
        <w:tc>
          <w:tcPr>
            <w:tcW w:type="dxa" w:w="1096"/>
            <w:vAlign w:val="center"/>
          </w:tcPr>
          <w:p>
            <w:pPr>
              <w:jc w:val="center"/>
            </w:pPr>
            <w:r/>
            <w:r>
              <w:rPr>
                <w:b w:val="0"/>
                <w:sz w:val="13"/>
              </w:rPr>
              <w:t>28.35</w:t>
            </w:r>
          </w:p>
        </w:tc>
        <w:tc>
          <w:tcPr>
            <w:tcW w:type="dxa" w:w="1096"/>
            <w:vAlign w:val="center"/>
          </w:tcPr>
          <w:p>
            <w:pPr>
              <w:jc w:val="center"/>
            </w:pPr>
            <w:r/>
            <w:r>
              <w:rPr>
                <w:b w:val="0"/>
                <w:sz w:val="13"/>
              </w:rPr>
              <w:t>1.75</w:t>
            </w:r>
          </w:p>
        </w:tc>
        <w:tc>
          <w:tcPr>
            <w:tcW w:type="dxa" w:w="1096"/>
            <w:vAlign w:val="center"/>
          </w:tcPr>
          <w:p>
            <w:pPr>
              <w:jc w:val="center"/>
            </w:pPr>
            <w:r/>
            <w:r>
              <w:rPr>
                <w:b w:val="0"/>
                <w:sz w:val="13"/>
              </w:rPr>
              <w:t>1.32</w:t>
            </w:r>
          </w:p>
        </w:tc>
      </w:tr>
      <w:tr>
        <w:tc>
          <w:tcPr>
            <w:tcW w:type="dxa" w:w="1096"/>
            <w:vAlign w:val="center"/>
          </w:tcPr>
          <w:p>
            <w:pPr>
              <w:jc w:val="center"/>
            </w:pPr>
            <w:r/>
            <w:r>
              <w:rPr>
                <w:b w:val="0"/>
                <w:sz w:val="13"/>
              </w:rPr>
              <w:t>GS PID</w:t>
            </w:r>
          </w:p>
        </w:tc>
        <w:tc>
          <w:tcPr>
            <w:tcW w:type="dxa" w:w="1096"/>
            <w:vAlign w:val="center"/>
          </w:tcPr>
          <w:p>
            <w:pPr>
              <w:jc w:val="center"/>
            </w:pPr>
            <w:r/>
            <w:r>
              <w:rPr>
                <w:b w:val="0"/>
                <w:sz w:val="13"/>
              </w:rPr>
              <w:t>25</w:t>
            </w:r>
          </w:p>
        </w:tc>
        <w:tc>
          <w:tcPr>
            <w:tcW w:type="dxa" w:w="1096"/>
            <w:vAlign w:val="center"/>
          </w:tcPr>
          <w:p>
            <w:pPr>
              <w:jc w:val="center"/>
            </w:pPr>
            <w:r/>
            <w:r>
              <w:rPr>
                <w:b w:val="0"/>
                <w:sz w:val="13"/>
              </w:rPr>
              <w:t>15</w:t>
            </w:r>
          </w:p>
        </w:tc>
        <w:tc>
          <w:tcPr>
            <w:tcW w:type="dxa" w:w="1096"/>
            <w:vAlign w:val="center"/>
          </w:tcPr>
          <w:p>
            <w:pPr>
              <w:jc w:val="center"/>
            </w:pPr>
            <w:r/>
            <w:r>
              <w:rPr>
                <w:b w:val="0"/>
                <w:sz w:val="13"/>
              </w:rPr>
              <w:t>86.67</w:t>
            </w:r>
          </w:p>
        </w:tc>
        <w:tc>
          <w:tcPr>
            <w:tcW w:type="dxa" w:w="1096"/>
            <w:vAlign w:val="center"/>
          </w:tcPr>
          <w:p>
            <w:pPr>
              <w:jc w:val="center"/>
            </w:pPr>
            <w:r/>
            <w:r>
              <w:rPr>
                <w:b w:val="0"/>
                <w:sz w:val="13"/>
              </w:rPr>
              <w:t>0.670</w:t>
            </w:r>
          </w:p>
        </w:tc>
        <w:tc>
          <w:tcPr>
            <w:tcW w:type="dxa" w:w="1096"/>
            <w:vAlign w:val="center"/>
          </w:tcPr>
          <w:p>
            <w:pPr>
              <w:jc w:val="center"/>
            </w:pPr>
            <w:r/>
            <w:r>
              <w:rPr>
                <w:b w:val="0"/>
                <w:sz w:val="13"/>
              </w:rPr>
              <w:t>0.598</w:t>
            </w:r>
          </w:p>
        </w:tc>
        <w:tc>
          <w:tcPr>
            <w:tcW w:type="dxa" w:w="1096"/>
            <w:vAlign w:val="center"/>
          </w:tcPr>
          <w:p>
            <w:pPr>
              <w:jc w:val="center"/>
            </w:pPr>
            <w:r/>
            <w:r>
              <w:rPr>
                <w:b w:val="0"/>
                <w:sz w:val="13"/>
              </w:rPr>
              <w:t>37.96</w:t>
            </w:r>
          </w:p>
        </w:tc>
        <w:tc>
          <w:tcPr>
            <w:tcW w:type="dxa" w:w="1096"/>
            <w:vAlign w:val="center"/>
          </w:tcPr>
          <w:p>
            <w:pPr>
              <w:jc w:val="center"/>
            </w:pPr>
            <w:r/>
            <w:r>
              <w:rPr>
                <w:b w:val="0"/>
                <w:sz w:val="13"/>
              </w:rPr>
              <w:t>2.87</w:t>
            </w:r>
          </w:p>
        </w:tc>
        <w:tc>
          <w:tcPr>
            <w:tcW w:type="dxa" w:w="1096"/>
            <w:vAlign w:val="center"/>
          </w:tcPr>
          <w:p>
            <w:pPr>
              <w:jc w:val="center"/>
            </w:pPr>
            <w:r/>
            <w:r>
              <w:rPr>
                <w:b w:val="0"/>
                <w:sz w:val="13"/>
              </w:rPr>
              <w:t>2.11</w:t>
            </w:r>
          </w:p>
        </w:tc>
      </w:tr>
      <w:tr>
        <w:tc>
          <w:tcPr>
            <w:tcW w:type="dxa" w:w="1096"/>
            <w:vAlign w:val="center"/>
          </w:tcPr>
          <w:p>
            <w:pPr>
              <w:jc w:val="center"/>
            </w:pPr>
            <w:r/>
            <w:r>
              <w:rPr>
                <w:b w:val="0"/>
                <w:sz w:val="13"/>
              </w:rPr>
              <w:t>GS PID</w:t>
            </w:r>
          </w:p>
        </w:tc>
        <w:tc>
          <w:tcPr>
            <w:tcW w:type="dxa" w:w="1096"/>
            <w:vAlign w:val="center"/>
          </w:tcPr>
          <w:p>
            <w:pPr>
              <w:jc w:val="center"/>
            </w:pPr>
            <w:r/>
            <w:r>
              <w:rPr>
                <w:b w:val="0"/>
                <w:sz w:val="13"/>
              </w:rPr>
              <w:t>30</w:t>
            </w:r>
          </w:p>
        </w:tc>
        <w:tc>
          <w:tcPr>
            <w:tcW w:type="dxa" w:w="1096"/>
            <w:vAlign w:val="center"/>
          </w:tcPr>
          <w:p>
            <w:pPr>
              <w:jc w:val="center"/>
            </w:pPr>
            <w:r/>
            <w:r>
              <w:rPr>
                <w:b w:val="0"/>
                <w:sz w:val="13"/>
              </w:rPr>
              <w:t>18</w:t>
            </w:r>
          </w:p>
        </w:tc>
        <w:tc>
          <w:tcPr>
            <w:tcW w:type="dxa" w:w="1096"/>
            <w:vAlign w:val="center"/>
          </w:tcPr>
          <w:p>
            <w:pPr>
              <w:jc w:val="center"/>
            </w:pPr>
            <w:r/>
            <w:r>
              <w:rPr>
                <w:b w:val="0"/>
                <w:sz w:val="13"/>
              </w:rPr>
              <w:t>94.44</w:t>
            </w:r>
          </w:p>
        </w:tc>
        <w:tc>
          <w:tcPr>
            <w:tcW w:type="dxa" w:w="1096"/>
            <w:vAlign w:val="center"/>
          </w:tcPr>
          <w:p>
            <w:pPr>
              <w:jc w:val="center"/>
            </w:pPr>
            <w:r/>
            <w:r>
              <w:rPr>
                <w:b w:val="0"/>
                <w:sz w:val="13"/>
              </w:rPr>
              <w:t>0.455</w:t>
            </w:r>
          </w:p>
        </w:tc>
        <w:tc>
          <w:tcPr>
            <w:tcW w:type="dxa" w:w="1096"/>
            <w:vAlign w:val="center"/>
          </w:tcPr>
          <w:p>
            <w:pPr>
              <w:jc w:val="center"/>
            </w:pPr>
            <w:r/>
            <w:r>
              <w:rPr>
                <w:b w:val="0"/>
                <w:sz w:val="13"/>
              </w:rPr>
              <w:t>0.609</w:t>
            </w:r>
          </w:p>
        </w:tc>
        <w:tc>
          <w:tcPr>
            <w:tcW w:type="dxa" w:w="1096"/>
            <w:vAlign w:val="center"/>
          </w:tcPr>
          <w:p>
            <w:pPr>
              <w:jc w:val="center"/>
            </w:pPr>
            <w:r/>
            <w:r>
              <w:rPr>
                <w:b w:val="0"/>
                <w:sz w:val="13"/>
              </w:rPr>
              <w:t>33.56</w:t>
            </w:r>
          </w:p>
        </w:tc>
        <w:tc>
          <w:tcPr>
            <w:tcW w:type="dxa" w:w="1096"/>
            <w:vAlign w:val="center"/>
          </w:tcPr>
          <w:p>
            <w:pPr>
              <w:jc w:val="center"/>
            </w:pPr>
            <w:r/>
            <w:r>
              <w:rPr>
                <w:b w:val="0"/>
                <w:sz w:val="13"/>
              </w:rPr>
              <w:t>2.06</w:t>
            </w:r>
          </w:p>
        </w:tc>
        <w:tc>
          <w:tcPr>
            <w:tcW w:type="dxa" w:w="1096"/>
            <w:vAlign w:val="center"/>
          </w:tcPr>
          <w:p>
            <w:pPr>
              <w:jc w:val="center"/>
            </w:pPr>
            <w:r/>
            <w:r>
              <w:rPr>
                <w:b w:val="0"/>
                <w:sz w:val="13"/>
              </w:rPr>
              <w:t>2.64</w:t>
            </w:r>
          </w:p>
        </w:tc>
      </w:tr>
    </w:tbl>
    <w:p>
      <w:r>
        <w:rPr>
          <w:rFonts w:ascii="Times New Roman" w:hAnsi="Times New Roman" w:eastAsia="Times New Roman"/>
          <w:i/>
          <w:sz w:val="18"/>
        </w:rPr>
        <w:t>Tabel tanpa outlier hanya digunakan untuk membaca kecenderungan setelah anomali besar dipisahkan. Tabel ini bukan dasar untuk menghapus data.</w:t>
      </w:r>
    </w:p>
    <w:p>
      <w:r>
        <w:rPr>
          <w:rFonts w:ascii="Times New Roman" w:hAnsi="Times New Roman" w:eastAsia="Times New Roman"/>
        </w:rPr>
        <w:t>Setelah outlier kandidat dipisahkan, beberapa kecenderungan performa menjadi lebih baik. Gain Scheduling PID menunjukkan akurasi yang tinggi pada setpoint 15 g, 20 g, dan 30 g. Namun, hasil ini tidak boleh digunakan untuk menyimpulkan performa final karena outlier tetap merupakan bagian dari respons sistem sampai ada bukti teknis yang membenarkan pengecualian.</w:t>
      </w:r>
    </w:p>
    <w:p>
      <w:pPr>
        <w:pStyle w:val="Heading1"/>
      </w:pPr>
      <w:r>
        <w:rPr>
          <w:rFonts w:ascii="Times New Roman" w:hAnsi="Times New Roman" w:eastAsia="Times New Roman"/>
        </w:rPr>
        <w:t>5. Interpretasi Teknis ES 0 g</w:t>
      </w:r>
    </w:p>
    <w:p>
      <w:pPr>
        <w:pStyle w:val="Heading2"/>
      </w:pPr>
      <w:r>
        <w:rPr>
          <w:rFonts w:ascii="Times New Roman" w:hAnsi="Times New Roman" w:eastAsia="Times New Roman"/>
        </w:rPr>
        <w:t>5.1 Fixed PID pada ES 0 g</w:t>
      </w:r>
    </w:p>
    <w:p>
      <w:r>
        <w:rPr>
          <w:rFonts w:ascii="Times New Roman" w:hAnsi="Times New Roman" w:eastAsia="Times New Roman"/>
        </w:rPr>
        <w:t>Fixed PID menunjukkan beberapa trial yang akurat, terutama pada setpoint menengah. Namun, karena gain tetap digunakan pada seluruh rentang error, respons sistem kurang adaptif terhadap perubahan laju aliran granular. Ketika aliran tiba-tiba lancar atau material masih jatuh setelah servo menutup, sistem dapat menghasilkan overshoot besar. Pada kondisi lain, bridging dapat menyebabkan durasi panjang dan undershoot.</w:t>
      </w:r>
    </w:p>
    <w:p>
      <w:pPr>
        <w:pStyle w:val="Heading2"/>
      </w:pPr>
      <w:r>
        <w:rPr>
          <w:rFonts w:ascii="Times New Roman" w:hAnsi="Times New Roman" w:eastAsia="Times New Roman"/>
        </w:rPr>
        <w:t>5.2 Gain Scheduling PID pada ES 0 g</w:t>
      </w:r>
    </w:p>
    <w:p>
      <w:r>
        <w:rPr>
          <w:rFonts w:ascii="Times New Roman" w:hAnsi="Times New Roman" w:eastAsia="Times New Roman"/>
        </w:rPr>
        <w:t>Gain Scheduling PID menunjukkan kecenderungan lebih cepat dan lebih stabil pada beberapa setpoint setelah outlier dipisahkan. Hal ini sesuai dengan konsep penjadwalan gain berdasarkan besar error. Namun, ES 0 g tetap membuat sistem rentan karena servo menutup terlalu dekat dengan target, sehingga material in-flight masih dapat menambah massa akhir secara signifikan.</w:t>
      </w:r>
    </w:p>
    <w:p>
      <w:pPr>
        <w:pStyle w:val="Heading2"/>
      </w:pPr>
      <w:r>
        <w:rPr>
          <w:rFonts w:ascii="Times New Roman" w:hAnsi="Times New Roman" w:eastAsia="Times New Roman"/>
        </w:rPr>
        <w:t>5.3 Makna Early Stop</w:t>
      </w:r>
    </w:p>
    <w:p>
      <w:r>
        <w:rPr>
          <w:rFonts w:ascii="Times New Roman" w:hAnsi="Times New Roman" w:eastAsia="Times New Roman"/>
        </w:rPr>
        <w:t>Hasil ES 0 g menunjukkan bahwa early stop bukan sekadar parameter tambahan, melainkan mekanisme kompensasi yang diperlukan pada sistem penakaran granular. Margin early stop memberi ruang bagi material yang masih jatuh setelah servo menutup, sehingga risiko overshoot dapat dikurangi.</w:t>
      </w:r>
    </w:p>
    <w:p>
      <w:pPr>
        <w:pStyle w:val="Heading1"/>
      </w:pPr>
      <w:r>
        <w:rPr>
          <w:rFonts w:ascii="Times New Roman" w:hAnsi="Times New Roman" w:eastAsia="Times New Roman"/>
        </w:rPr>
        <w:t>6. Alasan ES 0 g Tidak Dipilih sebagai Konfigurasi Final</w:t>
      </w:r>
    </w:p>
    <w:p>
      <w:pPr>
        <w:pStyle w:val="ListNumber"/>
      </w:pPr>
      <w:r>
        <w:rPr>
          <w:rFonts w:ascii="Times New Roman" w:hAnsi="Times New Roman" w:eastAsia="Times New Roman"/>
        </w:rPr>
        <w:t>ES 0 g menghasilkan overshoot dan undershoot besar pada kedua controller.</w:t>
      </w:r>
    </w:p>
    <w:p>
      <w:pPr>
        <w:pStyle w:val="ListNumber"/>
      </w:pPr>
      <w:r>
        <w:rPr>
          <w:rFonts w:ascii="Times New Roman" w:hAnsi="Times New Roman" w:eastAsia="Times New Roman"/>
        </w:rPr>
        <w:t>Terdapat 29 kandidat outlier/anomali dari 140 trial valid, sehingga konfigurasi ini terlalu berisiko untuk dijadikan kondisi final.</w:t>
      </w:r>
    </w:p>
    <w:p>
      <w:pPr>
        <w:pStyle w:val="ListNumber"/>
      </w:pPr>
      <w:r>
        <w:rPr>
          <w:rFonts w:ascii="Times New Roman" w:hAnsi="Times New Roman" w:eastAsia="Times New Roman"/>
        </w:rPr>
        <w:t>Max abs error mencapai 8,88 g pada Fixed PID dan 12,87 g pada Gain Scheduling PID ketika outlier tetap disertakan.</w:t>
      </w:r>
    </w:p>
    <w:p>
      <w:pPr>
        <w:pStyle w:val="ListNumber"/>
      </w:pPr>
      <w:r>
        <w:rPr>
          <w:rFonts w:ascii="Times New Roman" w:hAnsi="Times New Roman" w:eastAsia="Times New Roman"/>
        </w:rPr>
        <w:t>Sistem penakaran pakan tidak dapat menarik kembali pakan yang sudah keluar, sehingga overshoot memiliki konsekuensi operasional yang penting.</w:t>
      </w:r>
    </w:p>
    <w:p>
      <w:pPr>
        <w:pStyle w:val="ListNumber"/>
      </w:pPr>
      <w:r>
        <w:rPr>
          <w:rFonts w:ascii="Times New Roman" w:hAnsi="Times New Roman" w:eastAsia="Times New Roman"/>
        </w:rPr>
        <w:t>ES 0 g tidak memberikan margin kompensasi terhadap material in-flight dan pelepasan massa granular setelah servo menutup.</w:t>
      </w:r>
    </w:p>
    <w:p>
      <w:pPr>
        <w:pStyle w:val="Heading1"/>
      </w:pPr>
      <w:r>
        <w:rPr>
          <w:rFonts w:ascii="Times New Roman" w:hAnsi="Times New Roman" w:eastAsia="Times New Roman"/>
        </w:rPr>
        <w:t>7. Posisi ES 0 g terhadap ES Final 0,4 g</w:t>
      </w:r>
    </w:p>
    <w:p>
      <w:r>
        <w:rPr>
          <w:rFonts w:ascii="Times New Roman" w:hAnsi="Times New Roman" w:eastAsia="Times New Roman"/>
        </w:rPr>
        <w:t>ES 0 g digunakan sebagai baseline untuk membuktikan kebutuhan early stop. Setelah risiko ES 0 g terlihat, dilakukan pilot lanjutan dengan kandidat ES 0,2 g, ES 0,3 g, dan ES 0,4 g. Berdasarkan pilot tersebut, ES 0,4 g dipilih sebagai konfigurasi final karena memberikan kompromi paling layak antara durasi penakaran, error agregat, dan kondisi pembanding yang sama bagi Fixed PID serta Gain Scheduling PID.</w:t>
      </w:r>
    </w:p>
    <w:p>
      <w:r>
        <w:rPr>
          <w:rFonts w:ascii="Times New Roman" w:hAnsi="Times New Roman" w:eastAsia="Times New Roman"/>
        </w:rPr>
        <w:t>Dengan demikian, ES 0 g dan ES 0,4 g memiliki fungsi metodologis yang berbeda. ES 0 g adalah baseline/sensitivitas, sedangkan ES 0,4 g adalah konfigurasi final yang dipakai dalam pengujian utama.</w:t>
      </w:r>
    </w:p>
    <w:p>
      <w:pPr>
        <w:pStyle w:val="Heading1"/>
      </w:pPr>
      <w:r>
        <w:rPr>
          <w:rFonts w:ascii="Times New Roman" w:hAnsi="Times New Roman" w:eastAsia="Times New Roman"/>
        </w:rPr>
        <w:t>8. Rumusan Siap Pakai untuk Skripsi</w:t>
      </w:r>
    </w:p>
    <w:p>
      <w:r>
        <w:rPr>
          <w:rFonts w:ascii="Times New Roman" w:hAnsi="Times New Roman" w:eastAsia="Times New Roman"/>
          <w:i/>
        </w:rPr>
        <w:t>Pengujian tanpa early stop (ES 0 g) dilakukan sebagai baseline untuk melihat risiko ketika proses penakaran dihentikan tepat pada setpoint. Hasil pengujian menunjukkan adanya overshoot dan undershoot besar pada kedua controller, dengan 29 kandidat outlier/anomali dari 140 trial valid. Kondisi ini menunjukkan bahwa sistem penakaran granular membutuhkan margin early stop untuk mengantisipasi material in-flight dan pelepasan massa setelah aktuator menutup. Oleh karena itu, ES 0 g tidak digunakan sebagai konfigurasi final, melainkan dijadikan dasar metodologis untuk melakukan pilot early stop pada nilai 0,2 g, 0,3 g, dan 0,4 g. Berdasarkan pilot lanjutan, ES 0,4 g kemudian dipilih sebagai konfigurasi final untuk pengujian Fixed PID dan Gain Scheduling PID.</w:t>
      </w:r>
    </w:p>
    <w:p>
      <w:pPr>
        <w:pStyle w:val="Heading1"/>
      </w:pPr>
      <w:r>
        <w:rPr>
          <w:rFonts w:ascii="Times New Roman" w:hAnsi="Times New Roman" w:eastAsia="Times New Roman"/>
        </w:rPr>
        <w:t>9. Kesimpulan</w:t>
      </w:r>
    </w:p>
    <w:p>
      <w:pPr/>
      <w:r>
        <w:rPr>
          <w:rFonts w:ascii="Times New Roman" w:hAnsi="Times New Roman" w:eastAsia="Times New Roman"/>
        </w:rPr>
      </w:r>
      <w:r>
        <w:rPr>
          <w:rFonts w:ascii="Times New Roman" w:hAnsi="Times New Roman" w:eastAsia="Times New Roman"/>
          <w:sz w:val="22"/>
        </w:rPr>
        <w:t>1.    ES 0 g tidak layak dijadikan konfigurasi final penelitian.</w:t>
      </w:r>
    </w:p>
    <w:p>
      <w:pPr/>
      <w:r>
        <w:rPr>
          <w:rFonts w:ascii="Times New Roman" w:hAnsi="Times New Roman" w:eastAsia="Times New Roman"/>
        </w:rPr>
      </w:r>
      <w:r>
        <w:rPr>
          <w:rFonts w:ascii="Times New Roman" w:hAnsi="Times New Roman" w:eastAsia="Times New Roman"/>
          <w:sz w:val="22"/>
        </w:rPr>
        <w:t>2.    ES 0 g tepat diposisikan sebagai uji pendahuluan/sensitivitas untuk menunjukkan risiko sistem tanpa margin early stop.</w:t>
      </w:r>
    </w:p>
    <w:p>
      <w:pPr/>
      <w:r>
        <w:rPr>
          <w:rFonts w:ascii="Times New Roman" w:hAnsi="Times New Roman" w:eastAsia="Times New Roman"/>
        </w:rPr>
      </w:r>
      <w:r>
        <w:rPr>
          <w:rFonts w:ascii="Times New Roman" w:hAnsi="Times New Roman" w:eastAsia="Times New Roman"/>
          <w:sz w:val="22"/>
        </w:rPr>
        <w:t>3.    Data ES 0 g tetap disimpan dan dibahas secara transparan, termasuk outlier/anomali kandidat.</w:t>
      </w:r>
    </w:p>
    <w:p>
      <w:pPr/>
      <w:r>
        <w:rPr>
          <w:rFonts w:ascii="Times New Roman" w:hAnsi="Times New Roman" w:eastAsia="Times New Roman"/>
        </w:rPr>
      </w:r>
      <w:r>
        <w:rPr>
          <w:rFonts w:ascii="Times New Roman" w:hAnsi="Times New Roman" w:eastAsia="Times New Roman"/>
          <w:sz w:val="22"/>
        </w:rPr>
        <w:t>4.    ES 0 g memperkuat alasan metodologis bahwa sistem penakaran granular membutuhkan early stop.</w:t>
      </w:r>
    </w:p>
    <w:p>
      <w:pPr/>
      <w:r>
        <w:rPr>
          <w:rFonts w:ascii="Times New Roman" w:hAnsi="Times New Roman" w:eastAsia="Times New Roman"/>
        </w:rPr>
      </w:r>
      <w:r>
        <w:rPr>
          <w:rFonts w:ascii="Times New Roman" w:hAnsi="Times New Roman" w:eastAsia="Times New Roman"/>
          <w:sz w:val="22"/>
        </w:rPr>
        <w:t>5.    Konfigurasi final tetap ES 0,4 g dan harus dipakai sama pada Fixed PID serta Gain Scheduling PID agar perbandingan final tetap fair.</w:t>
      </w:r>
    </w:p>
    <w:sectPr w:rsidR="00FC693F" w:rsidRPr="0006063C" w:rsidSect="00034616">
      <w:footerReference w:type="default" r:id="rId9"/>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Dokumen Analisis Baseline ES 0 g - Uji Sensitivitas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