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BAE" w:rsidRPr="001C7741" w:rsidRDefault="00E30BAE" w:rsidP="00E30BAE">
      <w:pPr>
        <w:pStyle w:val="Heading1"/>
        <w:rPr>
          <w:lang w:val="en-US"/>
        </w:rPr>
      </w:pPr>
      <w:r w:rsidRPr="001C7741">
        <w:rPr>
          <w:lang w:val="en-US"/>
        </w:rPr>
        <w:t>BalticBOOST Fisheries Impact Evaluation Tool (FIT) with Application to Assess the Bottom Fishing Footprint in Western Baltic Sea (ICES Subdivisions 22-24)</w:t>
      </w:r>
    </w:p>
    <w:p w:rsidR="00E30BAE" w:rsidRPr="00EA1C7D" w:rsidRDefault="00E30BAE" w:rsidP="00E30BAE">
      <w:pPr>
        <w:contextualSpacing/>
        <w:rPr>
          <w:rFonts w:cstheme="minorHAnsi"/>
          <w:sz w:val="24"/>
          <w:szCs w:val="20"/>
          <w:u w:val="single"/>
          <w:lang w:val="en-US"/>
        </w:rPr>
      </w:pPr>
    </w:p>
    <w:p w:rsidR="00E30BAE" w:rsidRPr="00EA1C7D" w:rsidRDefault="00E30BAE" w:rsidP="00E30BAE">
      <w:pPr>
        <w:contextualSpacing/>
        <w:rPr>
          <w:rFonts w:cstheme="minorHAnsi"/>
          <w:szCs w:val="20"/>
          <w:u w:val="single"/>
          <w:lang w:val="en-US"/>
        </w:rPr>
      </w:pPr>
      <w:r w:rsidRPr="00EA1C7D">
        <w:rPr>
          <w:rFonts w:cstheme="minorHAnsi"/>
          <w:szCs w:val="20"/>
          <w:u w:val="single"/>
          <w:lang w:val="en-US"/>
        </w:rPr>
        <w:t>Introduction</w:t>
      </w:r>
    </w:p>
    <w:p w:rsidR="00E30BAE" w:rsidRPr="00EA1C7D" w:rsidRDefault="00E30BAE" w:rsidP="00E30BAE">
      <w:pPr>
        <w:contextualSpacing/>
        <w:rPr>
          <w:rFonts w:cstheme="minorHAnsi"/>
          <w:szCs w:val="20"/>
          <w:lang w:val="en-US"/>
        </w:rPr>
      </w:pPr>
    </w:p>
    <w:p w:rsidR="00E30BAE" w:rsidRPr="00EA1C7D" w:rsidRDefault="00E30BAE" w:rsidP="00E30BAE">
      <w:pPr>
        <w:contextualSpacing/>
        <w:rPr>
          <w:rFonts w:cstheme="minorHAnsi"/>
          <w:szCs w:val="20"/>
          <w:lang w:val="en-US"/>
        </w:rPr>
      </w:pPr>
      <w:r w:rsidRPr="00EA1C7D">
        <w:rPr>
          <w:rFonts w:cstheme="minorHAnsi"/>
          <w:szCs w:val="20"/>
          <w:lang w:val="en-US"/>
        </w:rPr>
        <w:t xml:space="preserve">Fishing is one of the dominant anthropogenic activities affecting marine ecosystems (Halpern </w:t>
      </w:r>
      <w:r w:rsidRPr="00060671">
        <w:rPr>
          <w:rFonts w:cstheme="minorHAnsi"/>
          <w:i/>
          <w:szCs w:val="20"/>
          <w:lang w:val="en-US"/>
        </w:rPr>
        <w:t>et al.</w:t>
      </w:r>
      <w:r w:rsidRPr="00EA1C7D">
        <w:rPr>
          <w:rFonts w:cstheme="minorHAnsi"/>
          <w:szCs w:val="20"/>
          <w:lang w:val="en-US"/>
        </w:rPr>
        <w:t xml:space="preserve">, 2008) and there is global concern about adverse effects of particularly bottom trawls on seabed habitats and the structure and functioning of benthic ecosystems (Dayton </w:t>
      </w:r>
      <w:r w:rsidRPr="00060671">
        <w:rPr>
          <w:rFonts w:cstheme="minorHAnsi"/>
          <w:i/>
          <w:szCs w:val="20"/>
          <w:lang w:val="en-US"/>
        </w:rPr>
        <w:t>et al.</w:t>
      </w:r>
      <w:r w:rsidRPr="00EA1C7D">
        <w:rPr>
          <w:rFonts w:cstheme="minorHAnsi"/>
          <w:szCs w:val="20"/>
          <w:lang w:val="en-US"/>
        </w:rPr>
        <w:t>, 1995; Watling and Norse, 1998; Jennings and Kaiser, 1998).</w:t>
      </w:r>
      <w:r w:rsidRPr="00EA1C7D">
        <w:rPr>
          <w:sz w:val="24"/>
          <w:lang w:val="en-US"/>
        </w:rPr>
        <w:t xml:space="preserve"> </w:t>
      </w:r>
      <w:r>
        <w:rPr>
          <w:sz w:val="24"/>
          <w:lang w:val="en-US"/>
        </w:rPr>
        <w:t xml:space="preserve">We introduce here a workflow for relating the fishing pressure issued from the different fishing activities to the response of some of the affected components (fish stocks, benthic habitats) in order to address the needs for an evaluation tool of how fishing impacts the marine ecosystem. As a matter of proof, </w:t>
      </w:r>
      <w:r>
        <w:rPr>
          <w:rFonts w:cstheme="minorHAnsi"/>
          <w:szCs w:val="20"/>
          <w:lang w:val="en-US"/>
        </w:rPr>
        <w:t>t</w:t>
      </w:r>
      <w:r w:rsidRPr="00EA1C7D">
        <w:rPr>
          <w:rFonts w:cstheme="minorHAnsi"/>
          <w:szCs w:val="20"/>
          <w:lang w:val="en-US"/>
        </w:rPr>
        <w:t>he objective of th</w:t>
      </w:r>
      <w:r>
        <w:rPr>
          <w:rFonts w:cstheme="minorHAnsi"/>
          <w:szCs w:val="20"/>
          <w:lang w:val="en-US"/>
        </w:rPr>
        <w:t>e below</w:t>
      </w:r>
      <w:r w:rsidRPr="00EA1C7D">
        <w:rPr>
          <w:rFonts w:cstheme="minorHAnsi"/>
          <w:szCs w:val="20"/>
          <w:lang w:val="en-US"/>
        </w:rPr>
        <w:t xml:space="preserve"> analysis is to study the footprint of </w:t>
      </w:r>
      <w:r>
        <w:rPr>
          <w:rFonts w:cstheme="minorHAnsi"/>
          <w:szCs w:val="20"/>
          <w:lang w:val="en-US"/>
        </w:rPr>
        <w:t>fishing with mobile bottom-contacting gears</w:t>
      </w:r>
      <w:r w:rsidRPr="00EA1C7D">
        <w:rPr>
          <w:rFonts w:cstheme="minorHAnsi"/>
          <w:szCs w:val="20"/>
          <w:lang w:val="en-US"/>
        </w:rPr>
        <w:t xml:space="preserve"> in the Western Baltic Sea during 2010–2012 and compare it across habitat areas. </w:t>
      </w:r>
      <w:r>
        <w:rPr>
          <w:rFonts w:cstheme="minorHAnsi"/>
          <w:szCs w:val="20"/>
          <w:lang w:val="en-US"/>
        </w:rPr>
        <w:t>Bottom fishing</w:t>
      </w:r>
      <w:r w:rsidRPr="00EA1C7D">
        <w:rPr>
          <w:rFonts w:cstheme="minorHAnsi"/>
          <w:szCs w:val="20"/>
          <w:lang w:val="en-US"/>
        </w:rPr>
        <w:t xml:space="preserve"> distribution and intensity (calculated as swept area in a grid cell divided by surface area of a grid cell) is analyzed at a resolution of 1×1 minute longitude and latitude for different EUNIS habitat types and main gear groups, distinguishing between surface and subsurface footprints. Furthermore, an indicator of seabed integrity is estimated at the same grid cell resolution.</w:t>
      </w:r>
      <w:r>
        <w:rPr>
          <w:rFonts w:cstheme="minorHAnsi"/>
          <w:szCs w:val="20"/>
          <w:lang w:val="en-US"/>
        </w:rPr>
        <w:t xml:space="preserve"> The characterized fishing pressure is further coupled to information on fish and shellfish landings in order to make explicit the trade-off between impacts and the revenue made out of the sales from the impacting fisheries. This coupling should support end-users and </w:t>
      </w:r>
      <w:proofErr w:type="spellStart"/>
      <w:r>
        <w:rPr>
          <w:rFonts w:cstheme="minorHAnsi"/>
          <w:szCs w:val="20"/>
          <w:lang w:val="en-US"/>
        </w:rPr>
        <w:t>practionners</w:t>
      </w:r>
      <w:proofErr w:type="spellEnd"/>
      <w:r>
        <w:rPr>
          <w:rFonts w:cstheme="minorHAnsi"/>
          <w:szCs w:val="20"/>
          <w:lang w:val="en-US"/>
        </w:rPr>
        <w:t xml:space="preserve"> further by incorporating the first steps of an economic dimension of the concerned fishing practices. This tool can ultimately apply to any area as soon as the required area-specific data are available. Subcomponents of the tool are also to be informed and downscaled to particular areas supported by specific cases studies.</w:t>
      </w:r>
    </w:p>
    <w:p w:rsidR="00E30BAE" w:rsidRPr="00EA1C7D" w:rsidRDefault="00E30BAE" w:rsidP="00E30BAE">
      <w:pPr>
        <w:contextualSpacing/>
        <w:rPr>
          <w:rFonts w:cstheme="minorHAnsi"/>
          <w:szCs w:val="20"/>
          <w:u w:val="single"/>
          <w:lang w:val="en-US"/>
        </w:rPr>
      </w:pPr>
    </w:p>
    <w:p w:rsidR="00E30BAE" w:rsidRDefault="00E30BAE" w:rsidP="00E30BAE">
      <w:pPr>
        <w:contextualSpacing/>
        <w:rPr>
          <w:rFonts w:cstheme="minorHAnsi"/>
          <w:szCs w:val="20"/>
          <w:u w:val="single"/>
          <w:lang w:val="en-US"/>
        </w:rPr>
      </w:pPr>
      <w:r>
        <w:rPr>
          <w:rFonts w:cstheme="minorHAnsi"/>
          <w:szCs w:val="20"/>
          <w:u w:val="single"/>
          <w:lang w:val="en-US"/>
        </w:rPr>
        <w:t>Methods</w:t>
      </w:r>
    </w:p>
    <w:p w:rsidR="00E30BAE" w:rsidRDefault="00E30BAE" w:rsidP="00E30BAE">
      <w:pPr>
        <w:contextualSpacing/>
        <w:rPr>
          <w:rFonts w:cstheme="minorHAnsi"/>
          <w:szCs w:val="20"/>
          <w:u w:val="single"/>
          <w:lang w:val="en-US"/>
        </w:rPr>
      </w:pPr>
    </w:p>
    <w:p w:rsidR="00E30BAE" w:rsidRPr="00EA1C7D" w:rsidRDefault="00E30BAE" w:rsidP="00E30BAE">
      <w:pPr>
        <w:contextualSpacing/>
        <w:rPr>
          <w:rFonts w:cstheme="minorHAnsi"/>
          <w:szCs w:val="20"/>
          <w:u w:val="single"/>
          <w:lang w:val="en-US"/>
        </w:rPr>
      </w:pPr>
      <w:r w:rsidRPr="00EA1C7D">
        <w:rPr>
          <w:rFonts w:cstheme="minorHAnsi"/>
          <w:szCs w:val="20"/>
          <w:u w:val="single"/>
          <w:lang w:val="en-US"/>
        </w:rPr>
        <w:t>Methods – swept area intensity</w:t>
      </w:r>
      <w:r>
        <w:rPr>
          <w:rFonts w:cstheme="minorHAnsi"/>
          <w:szCs w:val="20"/>
          <w:u w:val="single"/>
          <w:lang w:val="en-US"/>
        </w:rPr>
        <w:t xml:space="preserve"> or swept area ratio</w:t>
      </w:r>
    </w:p>
    <w:p w:rsidR="00E30BAE" w:rsidRPr="00EA1C7D" w:rsidRDefault="00E30BAE" w:rsidP="00E30BAE">
      <w:pPr>
        <w:contextualSpacing/>
        <w:rPr>
          <w:rFonts w:cstheme="minorHAnsi"/>
          <w:szCs w:val="20"/>
          <w:lang w:val="en-US"/>
        </w:rPr>
      </w:pPr>
    </w:p>
    <w:p w:rsidR="00E30BAE" w:rsidRPr="00724454" w:rsidRDefault="00E30BAE" w:rsidP="00E30BAE">
      <w:pPr>
        <w:rPr>
          <w:szCs w:val="20"/>
          <w:lang w:val="en-US"/>
        </w:rPr>
      </w:pPr>
      <w:r>
        <w:rPr>
          <w:rFonts w:cstheme="minorHAnsi"/>
          <w:szCs w:val="20"/>
          <w:lang w:val="en-US"/>
        </w:rPr>
        <w:t xml:space="preserve">Two parallel sources of data are set up depending on whether the raw or aggregated VMS data are used (see diagram further below) while the workflow from aggregated VMS data is an approximation of the one starting from the raw VMS data. Working on data issued by a data call from ICES, ICES WGSFD is generating aggregated swept area ratio (SAR) on a c-square grid from the individual country aggregated VMS data. </w:t>
      </w:r>
      <w:r>
        <w:rPr>
          <w:szCs w:val="20"/>
          <w:lang w:val="en-US"/>
        </w:rPr>
        <w:t>The coverage obtained by the ICES data call is good</w:t>
      </w:r>
      <w:r>
        <w:rPr>
          <w:rFonts w:cstheme="minorHAnsi"/>
          <w:szCs w:val="20"/>
          <w:lang w:val="en-US"/>
        </w:rPr>
        <w:t xml:space="preserve"> given most of the European countries submitted data to ICES (ICES WGSFD 2016). Alternatively, in the present application, raw VMS data were available and extracted </w:t>
      </w:r>
      <w:r w:rsidRPr="00EA1C7D">
        <w:rPr>
          <w:rFonts w:cstheme="minorHAnsi"/>
          <w:szCs w:val="20"/>
          <w:lang w:val="en-US"/>
        </w:rPr>
        <w:t>2010-2012 VMS data from Denmark, Sweden and Germany</w:t>
      </w:r>
      <w:r>
        <w:rPr>
          <w:rFonts w:cstheme="minorHAnsi"/>
          <w:szCs w:val="20"/>
          <w:lang w:val="en-US"/>
        </w:rPr>
        <w:t>, the three main active countries in the western Baltic,</w:t>
      </w:r>
      <w:r w:rsidRPr="00EA1C7D">
        <w:rPr>
          <w:rFonts w:cstheme="minorHAnsi"/>
          <w:szCs w:val="20"/>
          <w:lang w:val="en-US"/>
        </w:rPr>
        <w:t xml:space="preserve"> </w:t>
      </w:r>
      <w:r w:rsidRPr="00EA1C7D">
        <w:rPr>
          <w:szCs w:val="20"/>
          <w:lang w:val="en-US"/>
        </w:rPr>
        <w:t xml:space="preserve">were coupled to logbook data </w:t>
      </w:r>
      <w:r>
        <w:rPr>
          <w:szCs w:val="20"/>
          <w:lang w:val="en-US"/>
        </w:rPr>
        <w:t xml:space="preserve">also </w:t>
      </w:r>
      <w:r w:rsidRPr="00EA1C7D">
        <w:rPr>
          <w:szCs w:val="20"/>
          <w:lang w:val="en-US"/>
        </w:rPr>
        <w:t xml:space="preserve">based on methodology developed by Bastardie </w:t>
      </w:r>
      <w:r w:rsidRPr="00060671">
        <w:rPr>
          <w:i/>
          <w:szCs w:val="20"/>
          <w:lang w:val="en-US"/>
        </w:rPr>
        <w:t>et al.</w:t>
      </w:r>
      <w:r w:rsidRPr="00EA1C7D">
        <w:rPr>
          <w:szCs w:val="20"/>
          <w:lang w:val="en-US"/>
        </w:rPr>
        <w:t xml:space="preserve"> (2010) and </w:t>
      </w:r>
      <w:proofErr w:type="spellStart"/>
      <w:r w:rsidRPr="00EA1C7D">
        <w:rPr>
          <w:szCs w:val="20"/>
          <w:lang w:val="en-US"/>
        </w:rPr>
        <w:t>Hintzen</w:t>
      </w:r>
      <w:proofErr w:type="spellEnd"/>
      <w:r w:rsidRPr="00EA1C7D">
        <w:rPr>
          <w:szCs w:val="20"/>
          <w:lang w:val="en-US"/>
        </w:rPr>
        <w:t xml:space="preserve"> </w:t>
      </w:r>
      <w:r w:rsidRPr="00060671">
        <w:rPr>
          <w:i/>
          <w:szCs w:val="20"/>
          <w:lang w:val="en-US"/>
        </w:rPr>
        <w:t>et al.</w:t>
      </w:r>
      <w:r w:rsidRPr="00EA1C7D">
        <w:rPr>
          <w:szCs w:val="20"/>
          <w:lang w:val="en-US"/>
        </w:rPr>
        <w:t xml:space="preserve"> (2012). Individual logbook observations </w:t>
      </w:r>
      <w:r>
        <w:rPr>
          <w:szCs w:val="20"/>
          <w:lang w:val="en-US"/>
        </w:rPr>
        <w:t xml:space="preserve">for bottom trawling </w:t>
      </w:r>
      <w:r w:rsidRPr="00EA1C7D">
        <w:rPr>
          <w:szCs w:val="20"/>
          <w:lang w:val="en-US"/>
        </w:rPr>
        <w:t xml:space="preserve">were assigned to different functional gear groups (métiers) based on target species and gear type information (Eigaard </w:t>
      </w:r>
      <w:r w:rsidRPr="00060671">
        <w:rPr>
          <w:i/>
          <w:szCs w:val="20"/>
          <w:lang w:val="en-US"/>
        </w:rPr>
        <w:t>et al.</w:t>
      </w:r>
      <w:r w:rsidRPr="00EA1C7D">
        <w:rPr>
          <w:szCs w:val="20"/>
          <w:lang w:val="en-US"/>
        </w:rPr>
        <w:t xml:space="preserve">, 2016a). Relationships between gear dimensions and vessel size (e.g. trawl door spread and vessel power) for each métier (Eigaard </w:t>
      </w:r>
      <w:r w:rsidRPr="00060671">
        <w:rPr>
          <w:i/>
          <w:szCs w:val="20"/>
          <w:lang w:val="en-US"/>
        </w:rPr>
        <w:t>et al.</w:t>
      </w:r>
      <w:r w:rsidRPr="00EA1C7D">
        <w:rPr>
          <w:szCs w:val="20"/>
          <w:lang w:val="en-US"/>
        </w:rPr>
        <w:t xml:space="preserve">, 2016a) were used to assign the swept-width of gear to each logbook trip. In addition to the total width of the gear used to estimate the surface impact, the subsurface impact was estimated based on information on the dimensions of the gear components that penetrate into the seabed (Eigaard </w:t>
      </w:r>
      <w:r w:rsidRPr="00060671">
        <w:rPr>
          <w:i/>
          <w:szCs w:val="20"/>
          <w:lang w:val="en-US"/>
        </w:rPr>
        <w:t>et al.</w:t>
      </w:r>
      <w:r w:rsidRPr="00EA1C7D">
        <w:rPr>
          <w:szCs w:val="20"/>
          <w:lang w:val="en-US"/>
        </w:rPr>
        <w:t>, 2016a). The extended logbook data were combined with interpolated vessel tracks from VMS data (</w:t>
      </w:r>
      <w:proofErr w:type="spellStart"/>
      <w:r w:rsidRPr="00EA1C7D">
        <w:rPr>
          <w:szCs w:val="20"/>
          <w:lang w:val="en-US"/>
        </w:rPr>
        <w:t>Hintzen</w:t>
      </w:r>
      <w:proofErr w:type="spellEnd"/>
      <w:r w:rsidRPr="00EA1C7D">
        <w:rPr>
          <w:szCs w:val="20"/>
          <w:lang w:val="en-US"/>
        </w:rPr>
        <w:t xml:space="preserve"> </w:t>
      </w:r>
      <w:r w:rsidRPr="00060671">
        <w:rPr>
          <w:i/>
          <w:szCs w:val="20"/>
          <w:lang w:val="en-US"/>
        </w:rPr>
        <w:t>et al.</w:t>
      </w:r>
      <w:r w:rsidRPr="00EA1C7D">
        <w:rPr>
          <w:szCs w:val="20"/>
          <w:lang w:val="en-US"/>
        </w:rPr>
        <w:t xml:space="preserve">, 2010). In this way the total seabed area swept by a given vessel and fishing gear </w:t>
      </w:r>
      <w:r w:rsidRPr="00EA1C7D">
        <w:rPr>
          <w:szCs w:val="20"/>
          <w:lang w:val="en-US"/>
        </w:rPr>
        <w:lastRenderedPageBreak/>
        <w:t>over the three-year period could be estimated taking into account the gear footprint of the métiers. The total area swept annually was estimated within grid cells of 1x1 minute longitude and latitude, which corresponds to approx. 1.9 km</w:t>
      </w:r>
      <w:r w:rsidRPr="00EA1C7D">
        <w:rPr>
          <w:szCs w:val="20"/>
          <w:vertAlign w:val="superscript"/>
          <w:lang w:val="en-US"/>
        </w:rPr>
        <w:t>2</w:t>
      </w:r>
      <w:r w:rsidRPr="00EA1C7D">
        <w:rPr>
          <w:szCs w:val="20"/>
          <w:lang w:val="en-US"/>
        </w:rPr>
        <w:t xml:space="preserve"> at 56</w:t>
      </w:r>
      <w:r w:rsidRPr="00EA1C7D">
        <w:rPr>
          <w:szCs w:val="20"/>
          <w:vertAlign w:val="superscript"/>
          <w:lang w:val="en-US"/>
        </w:rPr>
        <w:t>o</w:t>
      </w:r>
      <w:r w:rsidRPr="00EA1C7D">
        <w:rPr>
          <w:szCs w:val="20"/>
          <w:lang w:val="en-US"/>
        </w:rPr>
        <w:t>N with cell size gradually increasing or decreasing the further south or north it is located. The annual intensity was then calculated by dividing the total area trawled in each grid cell with the size of the grid cell.</w:t>
      </w:r>
      <w:r>
        <w:rPr>
          <w:szCs w:val="20"/>
          <w:lang w:val="en-US"/>
        </w:rPr>
        <w:t xml:space="preserve"> </w:t>
      </w:r>
      <w:r w:rsidRPr="00724454">
        <w:rPr>
          <w:szCs w:val="20"/>
          <w:lang w:val="en-US"/>
        </w:rPr>
        <w:t>The swept area ratio is calculated for surface and subsurface abrasion separately.</w:t>
      </w:r>
      <w:r>
        <w:rPr>
          <w:szCs w:val="20"/>
          <w:lang w:val="en-US"/>
        </w:rPr>
        <w:t xml:space="preserve"> </w:t>
      </w:r>
    </w:p>
    <w:p w:rsidR="00E30BAE" w:rsidRDefault="00E30BAE" w:rsidP="00E30BAE">
      <w:pPr>
        <w:contextualSpacing/>
        <w:rPr>
          <w:szCs w:val="20"/>
          <w:u w:val="single"/>
          <w:lang w:val="en-US"/>
        </w:rPr>
      </w:pPr>
    </w:p>
    <w:p w:rsidR="00E30BAE" w:rsidRPr="00EA1C7D" w:rsidRDefault="00E30BAE" w:rsidP="00E30BAE">
      <w:pPr>
        <w:contextualSpacing/>
        <w:rPr>
          <w:szCs w:val="20"/>
          <w:u w:val="single"/>
          <w:lang w:val="en-US"/>
        </w:rPr>
      </w:pPr>
    </w:p>
    <w:p w:rsidR="00E30BAE" w:rsidRPr="00EA1C7D" w:rsidRDefault="00E30BAE" w:rsidP="00E30BAE">
      <w:pPr>
        <w:contextualSpacing/>
        <w:rPr>
          <w:szCs w:val="20"/>
          <w:u w:val="single"/>
          <w:lang w:val="en-US"/>
        </w:rPr>
      </w:pPr>
      <w:r w:rsidRPr="00EA1C7D">
        <w:rPr>
          <w:szCs w:val="20"/>
          <w:u w:val="single"/>
          <w:lang w:val="en-US"/>
        </w:rPr>
        <w:t>Methods – trawling footprints</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A western Baltic “Trawling Footprint” was estimated as an indicator of benthic fishing pressure in the area (Eigaard </w:t>
      </w:r>
      <w:r w:rsidRPr="00060671">
        <w:rPr>
          <w:i/>
          <w:szCs w:val="20"/>
          <w:lang w:val="en-US"/>
        </w:rPr>
        <w:t>et al.</w:t>
      </w:r>
      <w:r w:rsidRPr="00EA1C7D">
        <w:rPr>
          <w:szCs w:val="20"/>
          <w:lang w:val="en-US"/>
        </w:rPr>
        <w:t xml:space="preserve"> </w:t>
      </w:r>
      <w:r>
        <w:rPr>
          <w:i/>
          <w:szCs w:val="20"/>
          <w:lang w:val="en-US"/>
        </w:rPr>
        <w:t>2016b</w:t>
      </w:r>
      <w:r w:rsidRPr="00EA1C7D">
        <w:rPr>
          <w:szCs w:val="20"/>
          <w:lang w:val="en-US"/>
        </w:rPr>
        <w:t xml:space="preserve">). This indicator shows the extent of </w:t>
      </w:r>
      <w:r>
        <w:rPr>
          <w:rFonts w:cstheme="minorHAnsi"/>
          <w:szCs w:val="20"/>
          <w:lang w:val="en-US"/>
        </w:rPr>
        <w:t>fishing with mobile bottom-contacting gears</w:t>
      </w:r>
      <w:r w:rsidRPr="00EA1C7D">
        <w:rPr>
          <w:szCs w:val="20"/>
          <w:lang w:val="en-US"/>
        </w:rPr>
        <w:t>, and reflects the proportion of the total seabed area (management area or habitat type) that is trawled annually during the period of analysis. Under the assumption of uniform distribution within grid cells the extent of bottom trawled was calculated in two ways: (</w:t>
      </w:r>
      <w:proofErr w:type="spellStart"/>
      <w:r w:rsidRPr="00EA1C7D">
        <w:rPr>
          <w:szCs w:val="20"/>
          <w:lang w:val="en-US"/>
        </w:rPr>
        <w:t>i</w:t>
      </w:r>
      <w:proofErr w:type="spellEnd"/>
      <w:r w:rsidRPr="00EA1C7D">
        <w:rPr>
          <w:szCs w:val="20"/>
          <w:lang w:val="en-US"/>
        </w:rPr>
        <w:t>) percentage of the grid cells of a management area or habitat type (after standardization for differences in grid cell size) where any quantity of trawling has been recorded irrespective of its intensity; (ii) area of the seabed trawled at least once a year. This first metric (</w:t>
      </w:r>
      <w:proofErr w:type="spellStart"/>
      <w:r w:rsidRPr="00EA1C7D">
        <w:rPr>
          <w:szCs w:val="20"/>
          <w:lang w:val="en-US"/>
        </w:rPr>
        <w:t>i</w:t>
      </w:r>
      <w:proofErr w:type="spellEnd"/>
      <w:r w:rsidRPr="00EA1C7D">
        <w:rPr>
          <w:szCs w:val="20"/>
          <w:lang w:val="en-US"/>
        </w:rPr>
        <w:t xml:space="preserve">) includes the </w:t>
      </w:r>
      <w:proofErr w:type="spellStart"/>
      <w:r w:rsidRPr="00EA1C7D">
        <w:rPr>
          <w:szCs w:val="20"/>
          <w:lang w:val="en-US"/>
        </w:rPr>
        <w:t>untrawled</w:t>
      </w:r>
      <w:proofErr w:type="spellEnd"/>
      <w:r w:rsidRPr="00EA1C7D">
        <w:rPr>
          <w:szCs w:val="20"/>
          <w:lang w:val="en-US"/>
        </w:rPr>
        <w:t xml:space="preserve"> parts of grid cells where trawling intensity was less than once a year. The second metric (ii) was calculated as the sum of the surface area of the fully trawled grid cells (trawled &gt;= 1 year</w:t>
      </w:r>
      <w:r w:rsidRPr="00EA1C7D">
        <w:rPr>
          <w:rFonts w:cs="Calibri"/>
          <w:szCs w:val="20"/>
          <w:vertAlign w:val="superscript"/>
          <w:lang w:val="en-US"/>
        </w:rPr>
        <w:t>−</w:t>
      </w:r>
      <w:r w:rsidRPr="00EA1C7D">
        <w:rPr>
          <w:szCs w:val="20"/>
          <w:vertAlign w:val="superscript"/>
          <w:lang w:val="en-US"/>
        </w:rPr>
        <w:t>1</w:t>
      </w:r>
      <w:r w:rsidRPr="00EA1C7D">
        <w:rPr>
          <w:szCs w:val="20"/>
          <w:lang w:val="en-US"/>
        </w:rPr>
        <w:t>) plus the sum of the swept areas of partially trawled grid cells (trawled less than once a year). The first footprint calculation (</w:t>
      </w:r>
      <w:proofErr w:type="spellStart"/>
      <w:r w:rsidRPr="00EA1C7D">
        <w:rPr>
          <w:szCs w:val="20"/>
          <w:lang w:val="en-US"/>
        </w:rPr>
        <w:t>i</w:t>
      </w:r>
      <w:proofErr w:type="spellEnd"/>
      <w:r w:rsidRPr="00EA1C7D">
        <w:rPr>
          <w:szCs w:val="20"/>
          <w:lang w:val="en-US"/>
        </w:rPr>
        <w:t xml:space="preserve">) acknowledges that the data used (2010–2012) only covers a relatively short time-step. If a longer time step would be considered the </w:t>
      </w:r>
      <w:proofErr w:type="spellStart"/>
      <w:r w:rsidRPr="00EA1C7D">
        <w:rPr>
          <w:szCs w:val="20"/>
          <w:lang w:val="en-US"/>
        </w:rPr>
        <w:t>untrawled</w:t>
      </w:r>
      <w:proofErr w:type="spellEnd"/>
      <w:r w:rsidRPr="00EA1C7D">
        <w:rPr>
          <w:szCs w:val="20"/>
          <w:lang w:val="en-US"/>
        </w:rPr>
        <w:t xml:space="preserve"> parts of the grid cells would be increasingly likely to be trawled.</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The Trawling Footprint was estimated by both methods described above as proportions of the different EUNIS habitat type areas </w:t>
      </w:r>
      <w:r>
        <w:rPr>
          <w:szCs w:val="20"/>
          <w:lang w:val="en-US"/>
        </w:rPr>
        <w:t xml:space="preserve">(Level 3) </w:t>
      </w:r>
      <w:r w:rsidRPr="00EA1C7D">
        <w:rPr>
          <w:szCs w:val="20"/>
          <w:lang w:val="en-US"/>
        </w:rPr>
        <w:t>in the Western Baltic (Figure 1)</w:t>
      </w:r>
      <w:r>
        <w:rPr>
          <w:szCs w:val="20"/>
          <w:lang w:val="en-US"/>
        </w:rPr>
        <w:t xml:space="preserve"> where fishing with mobile bottom contacting gear occurs</w:t>
      </w:r>
      <w:r w:rsidRPr="00EA1C7D">
        <w:rPr>
          <w:szCs w:val="20"/>
          <w:lang w:val="en-US"/>
        </w:rPr>
        <w:t>. The footprints were estimated separately by gear type</w:t>
      </w:r>
      <w:r>
        <w:rPr>
          <w:szCs w:val="20"/>
          <w:lang w:val="en-US"/>
        </w:rPr>
        <w:t xml:space="preserve"> (Bottom otter trawl; Seine; Dredge)</w:t>
      </w:r>
      <w:r w:rsidRPr="00EA1C7D">
        <w:rPr>
          <w:szCs w:val="20"/>
          <w:lang w:val="en-US"/>
        </w:rPr>
        <w:t>.</w:t>
      </w:r>
    </w:p>
    <w:p w:rsidR="00E30BAE" w:rsidRPr="00EA1C7D" w:rsidRDefault="00E30BAE" w:rsidP="00E30BAE">
      <w:pPr>
        <w:contextualSpacing/>
        <w:jc w:val="center"/>
        <w:rPr>
          <w:rFonts w:ascii="Times New Roman" w:hAnsi="Times New Roman" w:cs="Times New Roman"/>
          <w:b/>
          <w:i/>
          <w:szCs w:val="20"/>
          <w:lang w:val="en-US"/>
        </w:rPr>
      </w:pPr>
      <w:r w:rsidRPr="00EA1C7D">
        <w:rPr>
          <w:noProof/>
          <w:szCs w:val="20"/>
          <w:lang w:eastAsia="fi-FI"/>
        </w:rPr>
        <w:drawing>
          <wp:inline distT="0" distB="0" distL="0" distR="0" wp14:anchorId="0B9088B8" wp14:editId="42D9BE6E">
            <wp:extent cx="3336230" cy="3060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eunis_wbaltic.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36230" cy="3060000"/>
                    </a:xfrm>
                    <a:prstGeom prst="rect">
                      <a:avLst/>
                    </a:prstGeom>
                  </pic:spPr>
                </pic:pic>
              </a:graphicData>
            </a:graphic>
          </wp:inline>
        </w:drawing>
      </w:r>
    </w:p>
    <w:p w:rsidR="00E30BAE" w:rsidRPr="00EA1C7D" w:rsidRDefault="00E30BAE" w:rsidP="00E30BAE">
      <w:pPr>
        <w:contextualSpacing/>
        <w:rPr>
          <w:szCs w:val="20"/>
          <w:lang w:val="en-US"/>
        </w:rPr>
      </w:pPr>
      <w:r w:rsidRPr="00EA1C7D">
        <w:rPr>
          <w:rFonts w:ascii="Times New Roman" w:hAnsi="Times New Roman" w:cs="Times New Roman"/>
          <w:b/>
          <w:i/>
          <w:szCs w:val="20"/>
          <w:lang w:val="en-US"/>
        </w:rPr>
        <w:t>Figure 1</w:t>
      </w:r>
      <w:r w:rsidRPr="00EA1C7D">
        <w:rPr>
          <w:rFonts w:ascii="Times New Roman" w:hAnsi="Times New Roman" w:cs="Times New Roman"/>
          <w:i/>
          <w:szCs w:val="20"/>
          <w:lang w:val="en-US"/>
        </w:rPr>
        <w:t xml:space="preserve">. Distribution of EUNIS habitats </w:t>
      </w:r>
      <w:r>
        <w:rPr>
          <w:rFonts w:ascii="Times New Roman" w:hAnsi="Times New Roman" w:cs="Times New Roman"/>
          <w:i/>
          <w:szCs w:val="20"/>
          <w:lang w:val="en-US"/>
        </w:rPr>
        <w:t xml:space="preserve">(level 3) </w:t>
      </w:r>
      <w:r w:rsidRPr="00EA1C7D">
        <w:rPr>
          <w:rFonts w:ascii="Times New Roman" w:hAnsi="Times New Roman" w:cs="Times New Roman"/>
          <w:i/>
          <w:szCs w:val="20"/>
          <w:lang w:val="en-US"/>
        </w:rPr>
        <w:t xml:space="preserve">in the </w:t>
      </w:r>
      <w:r>
        <w:rPr>
          <w:rFonts w:ascii="Times New Roman" w:hAnsi="Times New Roman" w:cs="Times New Roman"/>
          <w:i/>
          <w:szCs w:val="20"/>
          <w:lang w:val="en-US"/>
        </w:rPr>
        <w:t xml:space="preserve">w. </w:t>
      </w:r>
      <w:r w:rsidRPr="00EA1C7D">
        <w:rPr>
          <w:rFonts w:ascii="Times New Roman" w:hAnsi="Times New Roman" w:cs="Times New Roman"/>
          <w:i/>
          <w:szCs w:val="20"/>
          <w:lang w:val="en-US"/>
        </w:rPr>
        <w:t>Baltic Sea</w:t>
      </w:r>
      <w:r w:rsidRPr="00EA1C7D">
        <w:rPr>
          <w:szCs w:val="20"/>
          <w:lang w:val="en-US"/>
        </w:rPr>
        <w:t>.</w:t>
      </w:r>
    </w:p>
    <w:p w:rsidR="00E30BAE" w:rsidRPr="00EA1C7D" w:rsidRDefault="00E30BAE" w:rsidP="00E30BAE">
      <w:pPr>
        <w:contextualSpacing/>
        <w:rPr>
          <w:szCs w:val="20"/>
          <w:u w:val="single"/>
          <w:lang w:val="en-US"/>
        </w:rPr>
      </w:pPr>
    </w:p>
    <w:p w:rsidR="00E30BAE" w:rsidRPr="00EA1C7D" w:rsidRDefault="00E30BAE" w:rsidP="00E30BAE">
      <w:pPr>
        <w:contextualSpacing/>
        <w:rPr>
          <w:szCs w:val="20"/>
          <w:u w:val="single"/>
          <w:lang w:val="en-US"/>
        </w:rPr>
      </w:pPr>
    </w:p>
    <w:p w:rsidR="00E30BAE" w:rsidRPr="00EA1C7D" w:rsidRDefault="00E30BAE" w:rsidP="00E30BAE">
      <w:pPr>
        <w:contextualSpacing/>
        <w:rPr>
          <w:szCs w:val="20"/>
          <w:u w:val="single"/>
          <w:lang w:val="en-US"/>
        </w:rPr>
      </w:pPr>
      <w:r w:rsidRPr="00EA1C7D">
        <w:rPr>
          <w:szCs w:val="20"/>
          <w:u w:val="single"/>
          <w:lang w:val="en-US"/>
        </w:rPr>
        <w:lastRenderedPageBreak/>
        <w:t>Methods – Seabed integrity</w:t>
      </w:r>
    </w:p>
    <w:p w:rsidR="00E30BAE" w:rsidRPr="00EA1C7D" w:rsidRDefault="00E30BAE" w:rsidP="00E30BAE">
      <w:pPr>
        <w:contextualSpacing/>
        <w:rPr>
          <w:szCs w:val="20"/>
          <w:lang w:val="en-US"/>
        </w:rPr>
      </w:pPr>
    </w:p>
    <w:p w:rsidR="00E30BAE" w:rsidRDefault="00E30BAE" w:rsidP="00E30BAE">
      <w:pPr>
        <w:contextualSpacing/>
        <w:rPr>
          <w:szCs w:val="20"/>
          <w:lang w:val="en-US"/>
        </w:rPr>
      </w:pPr>
      <w:r w:rsidRPr="00EA1C7D">
        <w:rPr>
          <w:szCs w:val="20"/>
          <w:lang w:val="en-US"/>
        </w:rPr>
        <w:t xml:space="preserve">The integrity of the seabed was estimated for the Western Baltic using the longevity approach developed in BENTHIS WP2 (Eigaard </w:t>
      </w:r>
      <w:r w:rsidRPr="00060671">
        <w:rPr>
          <w:i/>
          <w:szCs w:val="20"/>
          <w:lang w:val="en-US"/>
        </w:rPr>
        <w:t>et al.</w:t>
      </w:r>
      <w:r w:rsidRPr="00EA1C7D">
        <w:rPr>
          <w:szCs w:val="20"/>
          <w:lang w:val="en-US"/>
        </w:rPr>
        <w:t xml:space="preserve"> 2016b). The seabed integrity index (SBI) was estimated for grid cells of 1</w:t>
      </w:r>
      <w:r w:rsidRPr="00EA1C7D">
        <w:rPr>
          <w:rFonts w:cstheme="minorHAnsi"/>
          <w:szCs w:val="20"/>
          <w:lang w:val="en-US"/>
        </w:rPr>
        <w:t>×</w:t>
      </w:r>
      <w:r w:rsidRPr="00EA1C7D">
        <w:rPr>
          <w:szCs w:val="20"/>
          <w:lang w:val="en-US"/>
        </w:rPr>
        <w:t>1 min. longitude and latitude by combining the annual intensity estimates with the longevity composition of the biomass from a reference (</w:t>
      </w:r>
      <w:proofErr w:type="spellStart"/>
      <w:r w:rsidRPr="00EA1C7D">
        <w:rPr>
          <w:szCs w:val="20"/>
          <w:lang w:val="en-US"/>
        </w:rPr>
        <w:t>untrawled</w:t>
      </w:r>
      <w:proofErr w:type="spellEnd"/>
      <w:r w:rsidRPr="00EA1C7D">
        <w:rPr>
          <w:szCs w:val="20"/>
          <w:lang w:val="en-US"/>
        </w:rPr>
        <w:t xml:space="preserve">) area. The main principle of the approach is that if the reciprocal of the trawling intensity, which reflects the average time interval between two successive trawling events, is less than the life span of an organism, the integrity of the seabed habitat to provide a place to live for the organism may be compromised (Rijnsdorp </w:t>
      </w:r>
      <w:r w:rsidRPr="00060671">
        <w:rPr>
          <w:i/>
          <w:szCs w:val="20"/>
          <w:lang w:val="en-US"/>
        </w:rPr>
        <w:t>et al.</w:t>
      </w:r>
      <w:r w:rsidRPr="00EA1C7D">
        <w:rPr>
          <w:szCs w:val="20"/>
          <w:lang w:val="en-US"/>
        </w:rPr>
        <w:t xml:space="preserve">, 2016). Because the reference longevity composition of the different habitat types in the Western Baltic is not yet established, the assumption was made that the only established reference longevity composition so far, from the North Sea (Eigaard </w:t>
      </w:r>
      <w:r w:rsidRPr="00060671">
        <w:rPr>
          <w:i/>
          <w:szCs w:val="20"/>
          <w:lang w:val="en-US"/>
        </w:rPr>
        <w:t>et al.</w:t>
      </w:r>
      <w:r w:rsidRPr="00EA1C7D">
        <w:rPr>
          <w:szCs w:val="20"/>
          <w:lang w:val="en-US"/>
        </w:rPr>
        <w:t xml:space="preserve"> 2016b</w:t>
      </w:r>
      <w:r>
        <w:rPr>
          <w:szCs w:val="20"/>
          <w:lang w:val="en-US"/>
        </w:rPr>
        <w:t xml:space="preserve"> after Rijnsdorp </w:t>
      </w:r>
      <w:r w:rsidRPr="00060671">
        <w:rPr>
          <w:i/>
          <w:szCs w:val="20"/>
          <w:lang w:val="en-US"/>
        </w:rPr>
        <w:t>et al.</w:t>
      </w:r>
      <w:r>
        <w:rPr>
          <w:szCs w:val="20"/>
          <w:lang w:val="en-US"/>
        </w:rPr>
        <w:t xml:space="preserve"> 2014; Table xx; North Sea parameter estimates defined for EUNIS level 3 A5.1, A5.2, A5.3, and A5.4</w:t>
      </w:r>
      <w:r w:rsidRPr="00EA1C7D">
        <w:rPr>
          <w:szCs w:val="20"/>
          <w:lang w:val="en-US"/>
        </w:rPr>
        <w:t>), also applies for all the habitat types in the Baltic Sea. This is of course a substantial simplification and consequently the index values and maps should be considered preliminary. Even so the SBI approach was applied for the purpose of demonstrating methodology and output type</w:t>
      </w:r>
      <w:r>
        <w:rPr>
          <w:szCs w:val="20"/>
          <w:lang w:val="en-US"/>
        </w:rPr>
        <w:t>:</w:t>
      </w:r>
    </w:p>
    <w:p w:rsidR="00E30BAE" w:rsidRDefault="00E30BAE" w:rsidP="00E30BAE">
      <w:pPr>
        <w:contextualSpacing/>
        <w:rPr>
          <w:szCs w:val="20"/>
          <w:lang w:val="en-US"/>
        </w:rPr>
      </w:pPr>
    </w:p>
    <w:p w:rsidR="00E30BAE" w:rsidRDefault="00E30BAE" w:rsidP="00E30BAE">
      <w:pPr>
        <w:contextualSpacing/>
        <w:rPr>
          <w:szCs w:val="20"/>
          <w:lang w:val="en-US"/>
        </w:rPr>
      </w:pPr>
      <m:oMath>
        <m:r>
          <w:rPr>
            <w:rFonts w:ascii="Cambria Math" w:hAnsi="Cambria Math"/>
            <w:lang w:val="en-US"/>
          </w:rPr>
          <m:t>SBI=</m:t>
        </m:r>
        <m:f>
          <m:fPr>
            <m:type m:val="lin"/>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 α+β</m:t>
            </m:r>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e>
                </m:func>
              </m:e>
            </m:d>
          </m:num>
          <m:den>
            <m:r>
              <w:rPr>
                <w:rFonts w:ascii="Cambria Math" w:hAnsi="Cambria Math"/>
                <w:lang w:val="en-US"/>
              </w:rPr>
              <m:t>(1+</m:t>
            </m:r>
            <m:r>
              <m:rPr>
                <m:sty m:val="p"/>
              </m:rPr>
              <w:rPr>
                <w:rFonts w:ascii="Cambria Math" w:hAnsi="Cambria Math"/>
                <w:lang w:val="en-US"/>
              </w:rPr>
              <m:t>exp⁡</m:t>
            </m:r>
            <m:r>
              <w:rPr>
                <w:rFonts w:ascii="Cambria Math" w:hAnsi="Cambria Math"/>
                <w:lang w:val="en-US"/>
              </w:rPr>
              <m:t>( α+β</m:t>
            </m:r>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e>
                </m:func>
              </m:e>
            </m:d>
            <m:r>
              <w:rPr>
                <w:rFonts w:ascii="Cambria Math" w:hAnsi="Cambria Math"/>
                <w:lang w:val="en-US"/>
              </w:rPr>
              <m:t>)</m:t>
            </m:r>
          </m:den>
        </m:f>
      </m:oMath>
      <w:r w:rsidRPr="00EA1C7D">
        <w:rPr>
          <w:szCs w:val="20"/>
          <w:lang w:val="en-US"/>
        </w:rPr>
        <w:t xml:space="preserve"> </w:t>
      </w:r>
    </w:p>
    <w:p w:rsidR="00E30BAE" w:rsidRDefault="00E30BAE" w:rsidP="00E30BAE">
      <w:pPr>
        <w:contextualSpacing/>
        <w:rPr>
          <w:szCs w:val="20"/>
          <w:lang w:val="en-US"/>
        </w:rPr>
      </w:pPr>
    </w:p>
    <w:p w:rsidR="00E30BAE" w:rsidRPr="00EA1C7D" w:rsidRDefault="00E30BAE" w:rsidP="00E30BAE">
      <w:pPr>
        <w:contextualSpacing/>
        <w:rPr>
          <w:szCs w:val="20"/>
          <w:u w:val="single"/>
          <w:lang w:val="en-US"/>
        </w:rPr>
      </w:pPr>
      <w:r>
        <w:rPr>
          <w:szCs w:val="20"/>
          <w:lang w:val="en-US"/>
        </w:rPr>
        <w:t xml:space="preserve">With t is the trawling intensity and </w:t>
      </w:r>
      <m:oMath>
        <m:r>
          <w:rPr>
            <w:rFonts w:ascii="Cambria Math" w:hAnsi="Cambria Math"/>
            <w:lang w:val="en-US"/>
          </w:rPr>
          <m:t xml:space="preserve"> α </m:t>
        </m:r>
      </m:oMath>
      <w:r>
        <w:rPr>
          <w:rFonts w:eastAsiaTheme="minorEastAsia"/>
          <w:lang w:val="en-US"/>
        </w:rPr>
        <w:t xml:space="preserve"> and  </w:t>
      </w:r>
      <w:r>
        <w:rPr>
          <w:szCs w:val="20"/>
          <w:lang w:val="en-US"/>
        </w:rPr>
        <w:t xml:space="preserve"> </w:t>
      </w:r>
      <m:oMath>
        <m:r>
          <w:rPr>
            <w:rFonts w:ascii="Cambria Math" w:hAnsi="Cambria Math"/>
            <w:lang w:val="en-US"/>
          </w:rPr>
          <m:t>β</m:t>
        </m:r>
      </m:oMath>
      <w:r>
        <w:rPr>
          <w:rFonts w:eastAsiaTheme="minorEastAsia"/>
          <w:lang w:val="en-US"/>
        </w:rPr>
        <w:t xml:space="preserve"> are the coefficients of the logistic regression of the cumulative biomass (specific to each habitat; e.g. Figure 2) against log of the life span of the taxa, with the estimates given in Table 1.</w:t>
      </w:r>
    </w:p>
    <w:p w:rsidR="00E30BAE" w:rsidRDefault="00E30BAE" w:rsidP="00E30BAE">
      <w:pPr>
        <w:contextualSpacing/>
        <w:rPr>
          <w:szCs w:val="20"/>
          <w:lang w:val="en-US"/>
        </w:rPr>
      </w:pPr>
    </w:p>
    <w:p w:rsidR="00E30BAE" w:rsidRDefault="00E30BAE" w:rsidP="00E30BAE">
      <w:pPr>
        <w:contextualSpacing/>
        <w:rPr>
          <w:i/>
          <w:szCs w:val="20"/>
          <w:lang w:val="en-US"/>
        </w:rPr>
      </w:pPr>
      <w:r w:rsidRPr="00724454">
        <w:rPr>
          <w:i/>
          <w:szCs w:val="20"/>
          <w:lang w:val="en-US"/>
        </w:rPr>
        <w:t xml:space="preserve">Table </w:t>
      </w:r>
      <w:r>
        <w:rPr>
          <w:i/>
          <w:szCs w:val="20"/>
          <w:lang w:val="en-US"/>
        </w:rPr>
        <w:t>1</w:t>
      </w:r>
      <w:r w:rsidRPr="00724454">
        <w:rPr>
          <w:i/>
          <w:szCs w:val="20"/>
          <w:lang w:val="en-US"/>
        </w:rPr>
        <w:t xml:space="preserve">: Alpha and beta parameter estimates obtained from Rijnsdorp et al </w:t>
      </w:r>
      <w:r>
        <w:rPr>
          <w:i/>
          <w:szCs w:val="20"/>
          <w:lang w:val="en-US"/>
        </w:rPr>
        <w:t>(</w:t>
      </w:r>
      <w:r w:rsidRPr="00724454">
        <w:rPr>
          <w:i/>
          <w:szCs w:val="20"/>
          <w:lang w:val="en-US"/>
        </w:rPr>
        <w:t>201</w:t>
      </w:r>
      <w:r w:rsidRPr="00B76817">
        <w:rPr>
          <w:i/>
          <w:szCs w:val="20"/>
          <w:lang w:val="en-US"/>
        </w:rPr>
        <w:t>6</w:t>
      </w:r>
      <w:r>
        <w:rPr>
          <w:i/>
          <w:szCs w:val="20"/>
          <w:lang w:val="en-US"/>
        </w:rPr>
        <w:t>)</w:t>
      </w:r>
      <w:r w:rsidRPr="00B76817">
        <w:rPr>
          <w:i/>
          <w:szCs w:val="20"/>
          <w:lang w:val="en-US"/>
        </w:rPr>
        <w:t xml:space="preserve"> </w:t>
      </w:r>
      <w:r w:rsidRPr="00724454">
        <w:rPr>
          <w:i/>
          <w:szCs w:val="20"/>
          <w:lang w:val="en-US"/>
        </w:rPr>
        <w:t xml:space="preserve">to deduce the seabed index (SBI) from habitat specific biomass longevity distributions (as described in </w:t>
      </w:r>
      <w:r>
        <w:rPr>
          <w:i/>
          <w:szCs w:val="20"/>
          <w:lang w:val="en-US"/>
        </w:rPr>
        <w:t>Eigaard</w:t>
      </w:r>
      <w:r w:rsidRPr="00B76817">
        <w:rPr>
          <w:i/>
          <w:szCs w:val="20"/>
          <w:lang w:val="en-US"/>
        </w:rPr>
        <w:t xml:space="preserve"> </w:t>
      </w:r>
      <w:r w:rsidRPr="00060671">
        <w:rPr>
          <w:i/>
          <w:szCs w:val="20"/>
          <w:lang w:val="en-US"/>
        </w:rPr>
        <w:t>et al.</w:t>
      </w:r>
      <w:r w:rsidRPr="00B76817">
        <w:rPr>
          <w:i/>
          <w:szCs w:val="20"/>
          <w:lang w:val="en-US"/>
        </w:rPr>
        <w:t xml:space="preserve"> 201</w:t>
      </w:r>
      <w:r>
        <w:rPr>
          <w:i/>
          <w:szCs w:val="20"/>
          <w:lang w:val="en-US"/>
        </w:rPr>
        <w:t>6</w:t>
      </w:r>
      <w:r w:rsidRPr="00724454">
        <w:rPr>
          <w:i/>
          <w:szCs w:val="20"/>
          <w:lang w:val="en-US"/>
        </w:rPr>
        <w:t>).</w:t>
      </w:r>
    </w:p>
    <w:p w:rsidR="00E30BAE" w:rsidRPr="00724454" w:rsidRDefault="00E30BAE" w:rsidP="00E30BAE">
      <w:pPr>
        <w:contextualSpacing/>
        <w:rPr>
          <w:i/>
          <w:szCs w:val="20"/>
          <w:lang w:val="en-US"/>
        </w:rPr>
      </w:pPr>
    </w:p>
    <w:tbl>
      <w:tblPr>
        <w:tblW w:w="2880" w:type="dxa"/>
        <w:tblInd w:w="93" w:type="dxa"/>
        <w:tblLook w:val="04A0" w:firstRow="1" w:lastRow="0" w:firstColumn="1" w:lastColumn="0" w:noHBand="0" w:noVBand="1"/>
      </w:tblPr>
      <w:tblGrid>
        <w:gridCol w:w="960"/>
        <w:gridCol w:w="960"/>
        <w:gridCol w:w="1053"/>
      </w:tblGrid>
      <w:tr w:rsidR="00E30BAE" w:rsidRPr="00E06140" w:rsidTr="00476307">
        <w:trPr>
          <w:trHeight w:val="300"/>
        </w:trPr>
        <w:tc>
          <w:tcPr>
            <w:tcW w:w="960" w:type="dxa"/>
            <w:tcBorders>
              <w:top w:val="nil"/>
              <w:left w:val="nil"/>
              <w:bottom w:val="single" w:sz="4" w:space="0" w:color="auto"/>
              <w:right w:val="nil"/>
            </w:tcBorders>
            <w:shd w:val="clear" w:color="auto" w:fill="auto"/>
            <w:noWrap/>
            <w:vAlign w:val="bottom"/>
            <w:hideMark/>
          </w:tcPr>
          <w:p w:rsidR="00E30BAE" w:rsidRDefault="00E30BAE" w:rsidP="00476307">
            <w:pPr>
              <w:spacing w:after="0" w:line="240" w:lineRule="auto"/>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EUNIS</w:t>
            </w:r>
          </w:p>
          <w:p w:rsidR="00E30BAE" w:rsidRPr="00E06140" w:rsidRDefault="00E30BAE" w:rsidP="00476307">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t>Level3</w:t>
            </w:r>
          </w:p>
        </w:tc>
        <w:tc>
          <w:tcPr>
            <w:tcW w:w="960" w:type="dxa"/>
            <w:tcBorders>
              <w:top w:val="nil"/>
              <w:left w:val="nil"/>
              <w:bottom w:val="single" w:sz="4" w:space="0" w:color="auto"/>
              <w:right w:val="nil"/>
            </w:tcBorders>
            <w:shd w:val="clear" w:color="auto" w:fill="auto"/>
            <w:noWrap/>
            <w:vAlign w:val="bottom"/>
            <w:hideMark/>
          </w:tcPr>
          <w:p w:rsidR="00E30BAE" w:rsidRPr="00E06140" w:rsidRDefault="00E30BAE" w:rsidP="00476307">
            <w:pPr>
              <w:spacing w:after="0" w:line="240" w:lineRule="auto"/>
              <w:rPr>
                <w:rFonts w:ascii="Calibri" w:eastAsia="Times New Roman" w:hAnsi="Calibri" w:cs="Calibri"/>
                <w:color w:val="000000"/>
                <w:lang w:val="en-GB" w:eastAsia="en-GB"/>
              </w:rPr>
            </w:pPr>
            <m:oMathPara>
              <m:oMath>
                <m:r>
                  <w:rPr>
                    <w:rFonts w:ascii="Cambria Math" w:hAnsi="Cambria Math"/>
                    <w:lang w:val="en-US"/>
                  </w:rPr>
                  <m:t>α</m:t>
                </m:r>
              </m:oMath>
            </m:oMathPara>
          </w:p>
        </w:tc>
        <w:tc>
          <w:tcPr>
            <w:tcW w:w="960" w:type="dxa"/>
            <w:tcBorders>
              <w:top w:val="nil"/>
              <w:left w:val="nil"/>
              <w:bottom w:val="single" w:sz="4" w:space="0" w:color="auto"/>
              <w:right w:val="nil"/>
            </w:tcBorders>
            <w:shd w:val="clear" w:color="auto" w:fill="auto"/>
            <w:noWrap/>
            <w:vAlign w:val="bottom"/>
            <w:hideMark/>
          </w:tcPr>
          <w:p w:rsidR="00E30BAE" w:rsidRPr="00E06140" w:rsidRDefault="00E30BAE" w:rsidP="00476307">
            <w:pPr>
              <w:spacing w:after="0" w:line="240" w:lineRule="auto"/>
              <w:rPr>
                <w:rFonts w:ascii="Calibri" w:eastAsia="Times New Roman" w:hAnsi="Calibri" w:cs="Calibri"/>
                <w:color w:val="000000"/>
                <w:lang w:val="en-GB" w:eastAsia="en-GB"/>
              </w:rPr>
            </w:pPr>
            <m:oMathPara>
              <m:oMath>
                <m:r>
                  <w:rPr>
                    <w:rFonts w:ascii="Cambria Math" w:hAnsi="Cambria Math"/>
                    <w:lang w:val="en-US"/>
                  </w:rPr>
                  <m:t>β</m:t>
                </m:r>
              </m:oMath>
            </m:oMathPara>
          </w:p>
        </w:tc>
      </w:tr>
      <w:tr w:rsidR="00E30BAE" w:rsidRPr="00E06140" w:rsidTr="00476307">
        <w:trPr>
          <w:trHeight w:val="300"/>
        </w:trPr>
        <w:tc>
          <w:tcPr>
            <w:tcW w:w="960" w:type="dxa"/>
            <w:tcBorders>
              <w:top w:val="single" w:sz="4" w:space="0" w:color="auto"/>
              <w:left w:val="nil"/>
              <w:bottom w:val="nil"/>
              <w:right w:val="nil"/>
            </w:tcBorders>
            <w:shd w:val="clear" w:color="auto" w:fill="auto"/>
            <w:noWrap/>
            <w:vAlign w:val="bottom"/>
            <w:hideMark/>
          </w:tcPr>
          <w:p w:rsidR="00E30BAE" w:rsidRPr="00E06140" w:rsidRDefault="00E30BAE" w:rsidP="00476307">
            <w:pPr>
              <w:spacing w:after="0" w:line="240" w:lineRule="auto"/>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A5.1</w:t>
            </w:r>
          </w:p>
        </w:tc>
        <w:tc>
          <w:tcPr>
            <w:tcW w:w="960" w:type="dxa"/>
            <w:tcBorders>
              <w:top w:val="single" w:sz="4" w:space="0" w:color="auto"/>
              <w:left w:val="nil"/>
              <w:bottom w:val="nil"/>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4.77415</w:t>
            </w:r>
          </w:p>
        </w:tc>
        <w:tc>
          <w:tcPr>
            <w:tcW w:w="960" w:type="dxa"/>
            <w:tcBorders>
              <w:top w:val="single" w:sz="4" w:space="0" w:color="auto"/>
              <w:left w:val="nil"/>
              <w:bottom w:val="nil"/>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2.64516</w:t>
            </w:r>
          </w:p>
        </w:tc>
      </w:tr>
      <w:tr w:rsidR="00E30BAE" w:rsidRPr="00E06140" w:rsidTr="00476307">
        <w:trPr>
          <w:trHeight w:val="300"/>
        </w:trPr>
        <w:tc>
          <w:tcPr>
            <w:tcW w:w="960" w:type="dxa"/>
            <w:tcBorders>
              <w:top w:val="nil"/>
              <w:left w:val="nil"/>
              <w:bottom w:val="nil"/>
              <w:right w:val="nil"/>
            </w:tcBorders>
            <w:shd w:val="clear" w:color="auto" w:fill="auto"/>
            <w:noWrap/>
            <w:vAlign w:val="bottom"/>
            <w:hideMark/>
          </w:tcPr>
          <w:p w:rsidR="00E30BAE" w:rsidRPr="00E06140" w:rsidRDefault="00E30BAE" w:rsidP="00476307">
            <w:pPr>
              <w:spacing w:after="0" w:line="240" w:lineRule="auto"/>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A5.2</w:t>
            </w:r>
          </w:p>
        </w:tc>
        <w:tc>
          <w:tcPr>
            <w:tcW w:w="960" w:type="dxa"/>
            <w:tcBorders>
              <w:top w:val="nil"/>
              <w:left w:val="nil"/>
              <w:bottom w:val="nil"/>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-7.6857</w:t>
            </w:r>
          </w:p>
        </w:tc>
        <w:tc>
          <w:tcPr>
            <w:tcW w:w="960" w:type="dxa"/>
            <w:tcBorders>
              <w:top w:val="nil"/>
              <w:left w:val="nil"/>
              <w:bottom w:val="nil"/>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4.424618</w:t>
            </w:r>
          </w:p>
        </w:tc>
      </w:tr>
      <w:tr w:rsidR="00E30BAE" w:rsidRPr="00E06140" w:rsidTr="00476307">
        <w:trPr>
          <w:trHeight w:val="300"/>
        </w:trPr>
        <w:tc>
          <w:tcPr>
            <w:tcW w:w="960" w:type="dxa"/>
            <w:tcBorders>
              <w:top w:val="nil"/>
              <w:left w:val="nil"/>
              <w:right w:val="nil"/>
            </w:tcBorders>
            <w:shd w:val="clear" w:color="auto" w:fill="auto"/>
            <w:noWrap/>
            <w:vAlign w:val="bottom"/>
            <w:hideMark/>
          </w:tcPr>
          <w:p w:rsidR="00E30BAE" w:rsidRPr="00E06140" w:rsidRDefault="00E30BAE" w:rsidP="00476307">
            <w:pPr>
              <w:spacing w:after="0" w:line="240" w:lineRule="auto"/>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A5.3</w:t>
            </w:r>
          </w:p>
        </w:tc>
        <w:tc>
          <w:tcPr>
            <w:tcW w:w="960" w:type="dxa"/>
            <w:tcBorders>
              <w:top w:val="nil"/>
              <w:left w:val="nil"/>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5.72813</w:t>
            </w:r>
          </w:p>
        </w:tc>
        <w:tc>
          <w:tcPr>
            <w:tcW w:w="960" w:type="dxa"/>
            <w:tcBorders>
              <w:top w:val="nil"/>
              <w:left w:val="nil"/>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4.151049</w:t>
            </w:r>
          </w:p>
        </w:tc>
      </w:tr>
      <w:tr w:rsidR="00E30BAE" w:rsidRPr="00E06140" w:rsidTr="00476307">
        <w:trPr>
          <w:trHeight w:val="300"/>
        </w:trPr>
        <w:tc>
          <w:tcPr>
            <w:tcW w:w="960" w:type="dxa"/>
            <w:tcBorders>
              <w:top w:val="nil"/>
              <w:left w:val="nil"/>
              <w:bottom w:val="single" w:sz="4" w:space="0" w:color="auto"/>
              <w:right w:val="nil"/>
            </w:tcBorders>
            <w:shd w:val="clear" w:color="auto" w:fill="auto"/>
            <w:noWrap/>
            <w:vAlign w:val="bottom"/>
            <w:hideMark/>
          </w:tcPr>
          <w:p w:rsidR="00E30BAE" w:rsidRPr="00E06140" w:rsidRDefault="00E30BAE" w:rsidP="00476307">
            <w:pPr>
              <w:spacing w:after="0" w:line="240" w:lineRule="auto"/>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A5.4</w:t>
            </w:r>
          </w:p>
        </w:tc>
        <w:tc>
          <w:tcPr>
            <w:tcW w:w="960" w:type="dxa"/>
            <w:tcBorders>
              <w:top w:val="nil"/>
              <w:left w:val="nil"/>
              <w:bottom w:val="single" w:sz="4" w:space="0" w:color="auto"/>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4.11021</w:t>
            </w:r>
          </w:p>
        </w:tc>
        <w:tc>
          <w:tcPr>
            <w:tcW w:w="960" w:type="dxa"/>
            <w:tcBorders>
              <w:top w:val="nil"/>
              <w:left w:val="nil"/>
              <w:bottom w:val="single" w:sz="4" w:space="0" w:color="auto"/>
              <w:right w:val="nil"/>
            </w:tcBorders>
            <w:shd w:val="clear" w:color="auto" w:fill="auto"/>
            <w:noWrap/>
            <w:vAlign w:val="bottom"/>
            <w:hideMark/>
          </w:tcPr>
          <w:p w:rsidR="00E30BAE" w:rsidRPr="00E06140" w:rsidRDefault="00E30BAE" w:rsidP="00476307">
            <w:pPr>
              <w:spacing w:after="0" w:line="240" w:lineRule="auto"/>
              <w:jc w:val="right"/>
              <w:rPr>
                <w:rFonts w:ascii="Calibri" w:eastAsia="Times New Roman" w:hAnsi="Calibri" w:cs="Calibri"/>
                <w:color w:val="000000"/>
                <w:lang w:val="en-GB" w:eastAsia="en-GB"/>
              </w:rPr>
            </w:pPr>
            <w:r w:rsidRPr="00E06140">
              <w:rPr>
                <w:rFonts w:ascii="Calibri" w:eastAsia="Times New Roman" w:hAnsi="Calibri" w:cs="Calibri"/>
                <w:color w:val="000000"/>
                <w:lang w:val="en-GB" w:eastAsia="en-GB"/>
              </w:rPr>
              <w:t>2.801233</w:t>
            </w:r>
          </w:p>
        </w:tc>
      </w:tr>
    </w:tbl>
    <w:p w:rsidR="00E30BAE" w:rsidRDefault="00E30BAE" w:rsidP="00E30BAE">
      <w:pPr>
        <w:contextualSpacing/>
        <w:rPr>
          <w:szCs w:val="20"/>
          <w:lang w:val="en-US"/>
        </w:rPr>
      </w:pPr>
    </w:p>
    <w:p w:rsidR="00E30BAE" w:rsidRDefault="00E30BAE" w:rsidP="00E30BAE">
      <w:pPr>
        <w:contextualSpacing/>
        <w:rPr>
          <w:szCs w:val="20"/>
          <w:lang w:val="en-US"/>
        </w:rPr>
      </w:pPr>
    </w:p>
    <w:p w:rsidR="00E30BAE" w:rsidRDefault="00E30BAE" w:rsidP="00E30BAE">
      <w:pPr>
        <w:contextualSpacing/>
        <w:rPr>
          <w:szCs w:val="20"/>
          <w:lang w:val="en-US"/>
        </w:rPr>
      </w:pPr>
    </w:p>
    <w:p w:rsidR="00E30BAE" w:rsidRDefault="00E30BAE" w:rsidP="00E30BAE">
      <w:pPr>
        <w:contextualSpacing/>
        <w:jc w:val="center"/>
        <w:rPr>
          <w:szCs w:val="20"/>
          <w:lang w:val="en-US"/>
        </w:rPr>
      </w:pPr>
      <w:r>
        <w:rPr>
          <w:noProof/>
          <w:lang w:eastAsia="fi-FI"/>
        </w:rPr>
        <w:lastRenderedPageBreak/>
        <w:drawing>
          <wp:inline distT="0" distB="0" distL="0" distR="0" wp14:anchorId="366B55A8" wp14:editId="4EC1E3C0">
            <wp:extent cx="2486025" cy="3759464"/>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9348" cy="3764489"/>
                    </a:xfrm>
                    <a:prstGeom prst="rect">
                      <a:avLst/>
                    </a:prstGeom>
                    <a:noFill/>
                    <a:ln>
                      <a:noFill/>
                    </a:ln>
                    <a:effectLst/>
                    <a:extLst/>
                  </pic:spPr>
                </pic:pic>
              </a:graphicData>
            </a:graphic>
          </wp:inline>
        </w:drawing>
      </w:r>
    </w:p>
    <w:p w:rsidR="00E30BAE" w:rsidRPr="002276C5" w:rsidRDefault="00E30BAE" w:rsidP="00E30BAE">
      <w:pPr>
        <w:contextualSpacing/>
        <w:rPr>
          <w:i/>
          <w:lang w:val="da-DK"/>
        </w:rPr>
      </w:pPr>
      <w:r w:rsidRPr="00E50086">
        <w:rPr>
          <w:b/>
          <w:i/>
          <w:lang w:val="en-US"/>
        </w:rPr>
        <w:t>Figure 2.</w:t>
      </w:r>
      <w:r w:rsidRPr="00E50086">
        <w:rPr>
          <w:i/>
          <w:lang w:val="en-US"/>
        </w:rPr>
        <w:t xml:space="preserve"> The proportion of biomass of longevity classes (&lt;1, 1–3, 3–10, and &gt;10 years) of the </w:t>
      </w:r>
      <w:proofErr w:type="spellStart"/>
      <w:r w:rsidRPr="00E50086">
        <w:rPr>
          <w:i/>
          <w:lang w:val="en-US"/>
        </w:rPr>
        <w:t>infaunal</w:t>
      </w:r>
      <w:proofErr w:type="spellEnd"/>
      <w:r w:rsidRPr="00E50086">
        <w:rPr>
          <w:i/>
          <w:lang w:val="en-US"/>
        </w:rPr>
        <w:t xml:space="preserve"> community (total) and two types of </w:t>
      </w:r>
      <w:proofErr w:type="spellStart"/>
      <w:r w:rsidRPr="00E50086">
        <w:rPr>
          <w:i/>
          <w:lang w:val="en-US"/>
        </w:rPr>
        <w:t>bioturbators</w:t>
      </w:r>
      <w:proofErr w:type="spellEnd"/>
      <w:r w:rsidRPr="00E50086">
        <w:rPr>
          <w:i/>
          <w:lang w:val="en-US"/>
        </w:rPr>
        <w:t xml:space="preserve"> (surface depositing, diffusive mixing) and two feeding types (suspension feeding, deposit feeding) in three habitat types: (a) A5.1, Sublittoral coarse sediment; (b) A5.2, Sublittoral sand; (c) A5.3, Sublittoral mud. </w:t>
      </w:r>
      <w:r w:rsidRPr="002276C5">
        <w:rPr>
          <w:i/>
          <w:lang w:val="da-DK"/>
        </w:rPr>
        <w:t xml:space="preserve">From </w:t>
      </w:r>
      <w:r w:rsidRPr="002276C5">
        <w:rPr>
          <w:bCs/>
          <w:i/>
          <w:lang w:val="da-DK"/>
        </w:rPr>
        <w:t>A. D. Rijnsdorp et al. ICES J. Mar. Sci. 2016;73:i127-i138</w:t>
      </w:r>
    </w:p>
    <w:p w:rsidR="00E30BAE" w:rsidRPr="002276C5" w:rsidRDefault="00E30BAE" w:rsidP="00E30BAE">
      <w:pPr>
        <w:contextualSpacing/>
        <w:rPr>
          <w:szCs w:val="20"/>
          <w:lang w:val="da-DK"/>
        </w:rPr>
      </w:pPr>
    </w:p>
    <w:p w:rsidR="00E30BAE" w:rsidRPr="002276C5" w:rsidRDefault="00E30BAE" w:rsidP="00E30BAE">
      <w:pPr>
        <w:contextualSpacing/>
        <w:rPr>
          <w:szCs w:val="20"/>
          <w:u w:val="single"/>
          <w:lang w:val="da-DK"/>
        </w:rPr>
      </w:pPr>
    </w:p>
    <w:p w:rsidR="00E30BAE" w:rsidRPr="00EA1C7D" w:rsidRDefault="00E30BAE" w:rsidP="00E30BAE">
      <w:pPr>
        <w:contextualSpacing/>
        <w:rPr>
          <w:szCs w:val="20"/>
          <w:u w:val="single"/>
          <w:lang w:val="en-US"/>
        </w:rPr>
      </w:pPr>
      <w:r w:rsidRPr="00EA1C7D">
        <w:rPr>
          <w:szCs w:val="20"/>
          <w:u w:val="single"/>
          <w:lang w:val="en-US"/>
        </w:rPr>
        <w:t>Methods – Origin of landings</w:t>
      </w:r>
    </w:p>
    <w:p w:rsidR="00E30BAE" w:rsidRPr="00EA1C7D" w:rsidRDefault="00E30BAE" w:rsidP="00E30BAE">
      <w:pPr>
        <w:contextualSpacing/>
        <w:rPr>
          <w:szCs w:val="20"/>
          <w:u w:val="single"/>
          <w:lang w:val="en-US"/>
        </w:rPr>
      </w:pPr>
    </w:p>
    <w:p w:rsidR="00E30BAE" w:rsidRPr="00EA1C7D" w:rsidRDefault="00E30BAE" w:rsidP="00E30BAE">
      <w:pPr>
        <w:contextualSpacing/>
        <w:rPr>
          <w:szCs w:val="20"/>
          <w:lang w:val="en-US"/>
        </w:rPr>
      </w:pPr>
      <w:r>
        <w:rPr>
          <w:szCs w:val="20"/>
          <w:lang w:val="en-US"/>
        </w:rPr>
        <w:t>Within the tool, t</w:t>
      </w:r>
      <w:r w:rsidRPr="00EA1C7D">
        <w:rPr>
          <w:szCs w:val="20"/>
          <w:lang w:val="en-US"/>
        </w:rPr>
        <w:t>he spatial distribution of the retained catches (landings</w:t>
      </w:r>
      <w:r>
        <w:rPr>
          <w:szCs w:val="20"/>
          <w:lang w:val="en-US"/>
        </w:rPr>
        <w:t>)</w:t>
      </w:r>
      <w:r w:rsidRPr="00EA1C7D">
        <w:rPr>
          <w:szCs w:val="20"/>
          <w:lang w:val="en-US"/>
        </w:rPr>
        <w:t xml:space="preserve"> declared in fishermen´s logbooks was obtained</w:t>
      </w:r>
      <w:r>
        <w:rPr>
          <w:szCs w:val="20"/>
          <w:lang w:val="en-US"/>
        </w:rPr>
        <w:t xml:space="preserve"> </w:t>
      </w:r>
      <w:r w:rsidRPr="00EA1C7D">
        <w:rPr>
          <w:szCs w:val="20"/>
          <w:lang w:val="en-US"/>
        </w:rPr>
        <w:t xml:space="preserve">following the methodology developed in </w:t>
      </w:r>
      <w:proofErr w:type="spellStart"/>
      <w:r w:rsidRPr="00EA1C7D">
        <w:rPr>
          <w:szCs w:val="20"/>
          <w:lang w:val="en-US"/>
        </w:rPr>
        <w:t>Hintzen</w:t>
      </w:r>
      <w:proofErr w:type="spellEnd"/>
      <w:r w:rsidRPr="00EA1C7D">
        <w:rPr>
          <w:szCs w:val="20"/>
          <w:lang w:val="en-US"/>
        </w:rPr>
        <w:t xml:space="preserve"> et al 2012, introducing </w:t>
      </w:r>
      <w:proofErr w:type="spellStart"/>
      <w:r w:rsidRPr="00EA1C7D">
        <w:rPr>
          <w:szCs w:val="20"/>
          <w:lang w:val="en-US"/>
        </w:rPr>
        <w:t>VMStools</w:t>
      </w:r>
      <w:proofErr w:type="spellEnd"/>
      <w:r w:rsidRPr="00EA1C7D">
        <w:rPr>
          <w:szCs w:val="20"/>
          <w:lang w:val="en-US"/>
        </w:rPr>
        <w:t xml:space="preserve"> </w:t>
      </w:r>
      <w:r>
        <w:rPr>
          <w:szCs w:val="20"/>
          <w:lang w:val="en-US"/>
        </w:rPr>
        <w:t xml:space="preserve">(an </w:t>
      </w:r>
      <w:r w:rsidRPr="00EA1C7D">
        <w:rPr>
          <w:szCs w:val="20"/>
          <w:lang w:val="en-US"/>
        </w:rPr>
        <w:t xml:space="preserve">R package) for processing the VMS data and couple them to logbooks declaration in a most standard way. </w:t>
      </w:r>
      <w:proofErr w:type="spellStart"/>
      <w:r w:rsidRPr="00EA1C7D">
        <w:rPr>
          <w:szCs w:val="20"/>
          <w:lang w:val="en-US"/>
        </w:rPr>
        <w:t>VMStools</w:t>
      </w:r>
      <w:proofErr w:type="spellEnd"/>
      <w:r w:rsidRPr="00EA1C7D">
        <w:rPr>
          <w:szCs w:val="20"/>
          <w:lang w:val="en-US"/>
        </w:rPr>
        <w:t xml:space="preserve"> is applied here and embedded in the present fisheries impact assessment tool to assign a piece of the landings in kg per trip per ICES rectangle per fishing day evenly to the discrete positions (on the same trip, rectangle and day) detected as fishing events by the analysis of the individual VMS tracks. </w:t>
      </w:r>
      <w:r>
        <w:rPr>
          <w:szCs w:val="20"/>
          <w:lang w:val="en-US"/>
        </w:rPr>
        <w:t xml:space="preserve">Alternatively, at a coarser scale, the international landings collected at the ICES rectangle level by EU STECF can dispatch over the VMS fishing positions, with some limiting assumptions. </w:t>
      </w:r>
    </w:p>
    <w:p w:rsidR="00E30BAE" w:rsidRPr="00EA1C7D" w:rsidRDefault="00E30BAE" w:rsidP="00E30BAE">
      <w:pPr>
        <w:contextualSpacing/>
        <w:rPr>
          <w:szCs w:val="20"/>
          <w:lang w:val="en-US"/>
        </w:rPr>
      </w:pPr>
    </w:p>
    <w:p w:rsidR="00E30BAE" w:rsidRPr="00EA1C7D" w:rsidRDefault="00E30BAE" w:rsidP="00E30BAE">
      <w:pPr>
        <w:contextualSpacing/>
        <w:rPr>
          <w:szCs w:val="20"/>
          <w:u w:val="single"/>
          <w:lang w:val="en-US"/>
        </w:rPr>
      </w:pPr>
    </w:p>
    <w:p w:rsidR="00E30BAE" w:rsidRPr="00EA1C7D" w:rsidRDefault="00E30BAE" w:rsidP="00E30BAE">
      <w:pPr>
        <w:contextualSpacing/>
        <w:rPr>
          <w:szCs w:val="20"/>
          <w:u w:val="single"/>
          <w:lang w:val="en-US"/>
        </w:rPr>
      </w:pPr>
      <w:r w:rsidRPr="00EA1C7D">
        <w:rPr>
          <w:szCs w:val="20"/>
          <w:u w:val="single"/>
          <w:lang w:val="en-US"/>
        </w:rPr>
        <w:t>Results</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Pr>
          <w:rFonts w:cstheme="minorHAnsi"/>
          <w:szCs w:val="20"/>
          <w:lang w:val="en-US"/>
        </w:rPr>
        <w:t>Fishing with mobile bottom-contacting gears</w:t>
      </w:r>
      <w:r w:rsidRPr="00EA1C7D">
        <w:rPr>
          <w:rFonts w:cstheme="minorHAnsi"/>
          <w:szCs w:val="20"/>
          <w:lang w:val="en-US"/>
        </w:rPr>
        <w:t xml:space="preserve"> </w:t>
      </w:r>
      <w:r w:rsidRPr="00EA1C7D">
        <w:rPr>
          <w:szCs w:val="20"/>
          <w:lang w:val="en-US"/>
        </w:rPr>
        <w:t xml:space="preserve">is widely distributed with high intensities over the Western Baltic and Kattegat (Figure </w:t>
      </w:r>
      <w:r>
        <w:rPr>
          <w:szCs w:val="20"/>
          <w:lang w:val="en-US"/>
        </w:rPr>
        <w:t>3</w:t>
      </w:r>
      <w:r w:rsidRPr="00EA1C7D">
        <w:rPr>
          <w:szCs w:val="20"/>
          <w:lang w:val="en-US"/>
        </w:rPr>
        <w:t xml:space="preserve">, left). </w:t>
      </w:r>
      <w:r>
        <w:rPr>
          <w:szCs w:val="20"/>
          <w:lang w:val="en-US"/>
        </w:rPr>
        <w:t>T</w:t>
      </w:r>
      <w:r w:rsidRPr="00EA1C7D">
        <w:rPr>
          <w:szCs w:val="20"/>
          <w:lang w:val="en-US"/>
        </w:rPr>
        <w:t xml:space="preserve">he </w:t>
      </w:r>
      <w:r>
        <w:rPr>
          <w:szCs w:val="20"/>
          <w:lang w:val="en-US"/>
        </w:rPr>
        <w:t xml:space="preserve">entire </w:t>
      </w:r>
      <w:r w:rsidRPr="00EA1C7D">
        <w:rPr>
          <w:szCs w:val="20"/>
          <w:lang w:val="en-US"/>
        </w:rPr>
        <w:t xml:space="preserve">eastern half of Kattegat has a high fishing pressure level with annual intensities </w:t>
      </w:r>
      <w:r>
        <w:rPr>
          <w:szCs w:val="20"/>
          <w:lang w:val="en-US"/>
        </w:rPr>
        <w:t xml:space="preserve">between 1 and </w:t>
      </w:r>
      <w:r w:rsidRPr="00EA1C7D">
        <w:rPr>
          <w:szCs w:val="20"/>
          <w:lang w:val="en-US"/>
        </w:rPr>
        <w:t xml:space="preserve">10, but also substantial areas </w:t>
      </w:r>
      <w:r>
        <w:rPr>
          <w:szCs w:val="20"/>
          <w:lang w:val="en-US"/>
        </w:rPr>
        <w:t xml:space="preserve">of the </w:t>
      </w:r>
      <w:proofErr w:type="spellStart"/>
      <w:r>
        <w:rPr>
          <w:szCs w:val="20"/>
          <w:lang w:val="en-US"/>
        </w:rPr>
        <w:t>Arkona</w:t>
      </w:r>
      <w:proofErr w:type="spellEnd"/>
      <w:r>
        <w:rPr>
          <w:szCs w:val="20"/>
          <w:lang w:val="en-US"/>
        </w:rPr>
        <w:t xml:space="preserve"> Basin, </w:t>
      </w:r>
      <w:r w:rsidRPr="00EA1C7D">
        <w:rPr>
          <w:szCs w:val="20"/>
          <w:lang w:val="en-US"/>
        </w:rPr>
        <w:t xml:space="preserve">north and </w:t>
      </w:r>
      <w:r>
        <w:rPr>
          <w:szCs w:val="20"/>
          <w:lang w:val="en-US"/>
        </w:rPr>
        <w:t xml:space="preserve">south </w:t>
      </w:r>
      <w:r w:rsidRPr="00EA1C7D">
        <w:rPr>
          <w:szCs w:val="20"/>
          <w:lang w:val="en-US"/>
        </w:rPr>
        <w:t xml:space="preserve"> of Bornholm and the most south-western part of the Baltic (Kiel and Mecklenburg Bay) has annual intensities above 1. </w:t>
      </w:r>
      <w:r>
        <w:rPr>
          <w:szCs w:val="20"/>
          <w:lang w:val="en-US"/>
        </w:rPr>
        <w:t xml:space="preserve">A few localized hotspots in these high-pressure areas have annual intensities above 10. </w:t>
      </w:r>
      <w:r w:rsidRPr="00EA1C7D">
        <w:rPr>
          <w:szCs w:val="20"/>
          <w:lang w:val="en-US"/>
        </w:rPr>
        <w:t xml:space="preserve">Disregarding the western Kattegat and the inner Danish waters most of the area shown has intensities </w:t>
      </w:r>
      <w:r w:rsidRPr="00EA1C7D">
        <w:rPr>
          <w:szCs w:val="20"/>
          <w:lang w:val="en-US"/>
        </w:rPr>
        <w:lastRenderedPageBreak/>
        <w:t>above 1. When estimating the subsurface intensity the same picture of pressure distribution emerges, but with the intensities scaled substantially down (</w:t>
      </w:r>
      <w:proofErr w:type="gramStart"/>
      <w:r w:rsidRPr="00EA1C7D">
        <w:rPr>
          <w:szCs w:val="20"/>
          <w:lang w:val="en-US"/>
        </w:rPr>
        <w:t xml:space="preserve">only </w:t>
      </w:r>
      <w:r>
        <w:rPr>
          <w:szCs w:val="20"/>
          <w:lang w:val="en-US"/>
        </w:rPr>
        <w:t xml:space="preserve"> the</w:t>
      </w:r>
      <w:proofErr w:type="gramEnd"/>
      <w:r>
        <w:rPr>
          <w:szCs w:val="20"/>
          <w:lang w:val="en-US"/>
        </w:rPr>
        <w:t xml:space="preserve"> </w:t>
      </w:r>
      <w:r w:rsidRPr="00EA1C7D">
        <w:rPr>
          <w:szCs w:val="20"/>
          <w:lang w:val="en-US"/>
        </w:rPr>
        <w:t xml:space="preserve">areas in Kattegat with intensities above 1 and otherwise the high-pressure areas experience annual intensities from </w:t>
      </w:r>
      <w:r>
        <w:rPr>
          <w:szCs w:val="20"/>
          <w:lang w:val="en-US"/>
        </w:rPr>
        <w:t>0.</w:t>
      </w:r>
      <w:r w:rsidRPr="00EA1C7D">
        <w:rPr>
          <w:szCs w:val="20"/>
          <w:lang w:val="en-US"/>
        </w:rPr>
        <w:t xml:space="preserve">1 to 1) (Figure </w:t>
      </w:r>
      <w:r>
        <w:rPr>
          <w:szCs w:val="20"/>
          <w:lang w:val="en-US"/>
        </w:rPr>
        <w:t>3</w:t>
      </w:r>
      <w:r w:rsidRPr="00EA1C7D">
        <w:rPr>
          <w:szCs w:val="20"/>
          <w:lang w:val="en-US"/>
        </w:rPr>
        <w:t xml:space="preserve">, right). </w:t>
      </w:r>
    </w:p>
    <w:p w:rsidR="00E30BAE" w:rsidRPr="00EA1C7D" w:rsidRDefault="00E30BAE" w:rsidP="00E30BAE">
      <w:pPr>
        <w:contextualSpacing/>
        <w:jc w:val="center"/>
        <w:rPr>
          <w:szCs w:val="20"/>
          <w:lang w:val="en-US"/>
        </w:rPr>
      </w:pPr>
      <w:r w:rsidRPr="00EA1C7D">
        <w:rPr>
          <w:noProof/>
          <w:szCs w:val="20"/>
          <w:lang w:eastAsia="fi-FI"/>
        </w:rPr>
        <w:drawing>
          <wp:inline distT="0" distB="0" distL="0" distR="0" wp14:anchorId="7F4B0ECB" wp14:editId="7D837DF9">
            <wp:extent cx="2964375" cy="3057881"/>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FP_wbaltic.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4375" cy="3057881"/>
                    </a:xfrm>
                    <a:prstGeom prst="rect">
                      <a:avLst/>
                    </a:prstGeom>
                  </pic:spPr>
                </pic:pic>
              </a:graphicData>
            </a:graphic>
          </wp:inline>
        </w:drawing>
      </w:r>
      <w:r w:rsidRPr="00EA1C7D">
        <w:rPr>
          <w:noProof/>
          <w:szCs w:val="20"/>
          <w:lang w:eastAsia="fi-FI"/>
        </w:rPr>
        <w:drawing>
          <wp:inline distT="0" distB="0" distL="0" distR="0" wp14:anchorId="3884BFF4" wp14:editId="57C4CF47">
            <wp:extent cx="2966429" cy="3060000"/>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FP_subsurface_wbaltic.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6429" cy="3060000"/>
                    </a:xfrm>
                    <a:prstGeom prst="rect">
                      <a:avLst/>
                    </a:prstGeom>
                  </pic:spPr>
                </pic:pic>
              </a:graphicData>
            </a:graphic>
          </wp:inline>
        </w:drawing>
      </w:r>
    </w:p>
    <w:p w:rsidR="00E30BAE" w:rsidRPr="00EA1C7D" w:rsidRDefault="00E30BAE" w:rsidP="00E30BAE">
      <w:pPr>
        <w:contextualSpacing/>
        <w:rPr>
          <w:rFonts w:ascii="Times New Roman" w:hAnsi="Times New Roman" w:cs="Times New Roman"/>
          <w:i/>
          <w:szCs w:val="20"/>
          <w:lang w:val="en-US"/>
        </w:rPr>
      </w:pPr>
      <w:r w:rsidRPr="00EA1C7D">
        <w:rPr>
          <w:rFonts w:ascii="Times New Roman" w:hAnsi="Times New Roman" w:cs="Times New Roman"/>
          <w:b/>
          <w:i/>
          <w:szCs w:val="20"/>
          <w:lang w:val="en-US"/>
        </w:rPr>
        <w:t xml:space="preserve">Figure </w:t>
      </w:r>
      <w:r>
        <w:rPr>
          <w:rFonts w:ascii="Times New Roman" w:hAnsi="Times New Roman" w:cs="Times New Roman"/>
          <w:b/>
          <w:i/>
          <w:szCs w:val="20"/>
          <w:lang w:val="en-US"/>
        </w:rPr>
        <w:t>3</w:t>
      </w:r>
      <w:r w:rsidRPr="00EA1C7D">
        <w:rPr>
          <w:rFonts w:ascii="Times New Roman" w:hAnsi="Times New Roman" w:cs="Times New Roman"/>
          <w:i/>
          <w:szCs w:val="20"/>
          <w:lang w:val="en-US"/>
        </w:rPr>
        <w:t>. Annual average fishing intensity (2010-2012) at the surface level (left; sediment abrasion &lt; 2cm) and subsurface level (right; abrasion ≥ 2 cm) for all bottom contacting gears from Denmark, Sweden and Germany.</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When separating the fishing pressure by gear type, it becomes clear that otter trawling is the main gear in the area (Figure </w:t>
      </w:r>
      <w:r>
        <w:rPr>
          <w:szCs w:val="20"/>
          <w:lang w:val="en-US"/>
        </w:rPr>
        <w:t>4</w:t>
      </w:r>
      <w:r w:rsidRPr="00EA1C7D">
        <w:rPr>
          <w:szCs w:val="20"/>
          <w:lang w:val="en-US"/>
        </w:rPr>
        <w:t xml:space="preserve">, left). Demersal seining takes place </w:t>
      </w:r>
      <w:r>
        <w:rPr>
          <w:szCs w:val="20"/>
          <w:lang w:val="en-US"/>
        </w:rPr>
        <w:t>nearly exclusively</w:t>
      </w:r>
      <w:r w:rsidRPr="00EA1C7D">
        <w:rPr>
          <w:szCs w:val="20"/>
          <w:lang w:val="en-US"/>
        </w:rPr>
        <w:t xml:space="preserve"> in the </w:t>
      </w:r>
      <w:proofErr w:type="spellStart"/>
      <w:r>
        <w:rPr>
          <w:szCs w:val="20"/>
          <w:lang w:val="en-US"/>
        </w:rPr>
        <w:t>Arkona</w:t>
      </w:r>
      <w:proofErr w:type="spellEnd"/>
      <w:r>
        <w:rPr>
          <w:szCs w:val="20"/>
          <w:lang w:val="en-US"/>
        </w:rPr>
        <w:t xml:space="preserve"> Basin, the south-eastern part of</w:t>
      </w:r>
      <w:r w:rsidRPr="00EA1C7D">
        <w:rPr>
          <w:szCs w:val="20"/>
          <w:lang w:val="en-US"/>
        </w:rPr>
        <w:t xml:space="preserve"> </w:t>
      </w:r>
      <w:r w:rsidRPr="00E50086">
        <w:rPr>
          <w:szCs w:val="20"/>
          <w:lang w:val="en-US"/>
        </w:rPr>
        <w:t xml:space="preserve">Mecklenburg Bight </w:t>
      </w:r>
      <w:r w:rsidRPr="00EA1C7D">
        <w:rPr>
          <w:szCs w:val="20"/>
          <w:lang w:val="en-US"/>
        </w:rPr>
        <w:t xml:space="preserve">and a small part of western Kattegat (Figure </w:t>
      </w:r>
      <w:r>
        <w:rPr>
          <w:szCs w:val="20"/>
          <w:lang w:val="en-US"/>
        </w:rPr>
        <w:t>4</w:t>
      </w:r>
      <w:r w:rsidRPr="00EA1C7D">
        <w:rPr>
          <w:szCs w:val="20"/>
          <w:lang w:val="en-US"/>
        </w:rPr>
        <w:t>, middle), whereas dredging is restricted to Danish fjords, straits and coastal areas (</w:t>
      </w:r>
      <w:r>
        <w:rPr>
          <w:szCs w:val="20"/>
          <w:lang w:val="en-US"/>
        </w:rPr>
        <w:t>F</w:t>
      </w:r>
      <w:r w:rsidRPr="00EA1C7D">
        <w:rPr>
          <w:szCs w:val="20"/>
          <w:lang w:val="en-US"/>
        </w:rPr>
        <w:t xml:space="preserve">igure </w:t>
      </w:r>
      <w:r>
        <w:rPr>
          <w:szCs w:val="20"/>
          <w:lang w:val="en-US"/>
        </w:rPr>
        <w:t>4</w:t>
      </w:r>
      <w:r w:rsidRPr="00EA1C7D">
        <w:rPr>
          <w:szCs w:val="20"/>
          <w:lang w:val="en-US"/>
        </w:rPr>
        <w:t xml:space="preserve">, right) </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noProof/>
          <w:szCs w:val="20"/>
          <w:lang w:eastAsia="fi-FI"/>
        </w:rPr>
        <w:drawing>
          <wp:inline distT="0" distB="0" distL="0" distR="0" wp14:anchorId="3450B641" wp14:editId="176C9ED4">
            <wp:extent cx="2019666" cy="2083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FP_otter_wbalt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666" cy="2083372"/>
                    </a:xfrm>
                    <a:prstGeom prst="rect">
                      <a:avLst/>
                    </a:prstGeom>
                  </pic:spPr>
                </pic:pic>
              </a:graphicData>
            </a:graphic>
          </wp:inline>
        </w:drawing>
      </w:r>
      <w:r w:rsidRPr="00EA1C7D">
        <w:rPr>
          <w:noProof/>
          <w:szCs w:val="20"/>
          <w:lang w:eastAsia="fi-FI"/>
        </w:rPr>
        <w:drawing>
          <wp:inline distT="0" distB="0" distL="0" distR="0" wp14:anchorId="3D15DBDF" wp14:editId="0AA0BDFA">
            <wp:extent cx="2023461" cy="208728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FP_seine_wbalt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461" cy="2087287"/>
                    </a:xfrm>
                    <a:prstGeom prst="rect">
                      <a:avLst/>
                    </a:prstGeom>
                  </pic:spPr>
                </pic:pic>
              </a:graphicData>
            </a:graphic>
          </wp:inline>
        </w:drawing>
      </w:r>
      <w:r w:rsidRPr="00EA1C7D">
        <w:rPr>
          <w:noProof/>
          <w:szCs w:val="20"/>
          <w:lang w:eastAsia="fi-FI"/>
        </w:rPr>
        <w:drawing>
          <wp:inline distT="0" distB="0" distL="0" distR="0" wp14:anchorId="53A4C9A1" wp14:editId="73D80CF6">
            <wp:extent cx="2023461" cy="208728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FP_Dredge_wbal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3461" cy="2087287"/>
                    </a:xfrm>
                    <a:prstGeom prst="rect">
                      <a:avLst/>
                    </a:prstGeom>
                  </pic:spPr>
                </pic:pic>
              </a:graphicData>
            </a:graphic>
          </wp:inline>
        </w:drawing>
      </w:r>
    </w:p>
    <w:p w:rsidR="00E30BAE" w:rsidRPr="00EA1C7D" w:rsidRDefault="00E30BAE" w:rsidP="00E30BAE">
      <w:pPr>
        <w:contextualSpacing/>
        <w:rPr>
          <w:rFonts w:ascii="Times New Roman" w:hAnsi="Times New Roman" w:cs="Times New Roman"/>
          <w:b/>
          <w:i/>
          <w:szCs w:val="20"/>
          <w:lang w:val="en-US"/>
        </w:rPr>
      </w:pPr>
    </w:p>
    <w:p w:rsidR="00E30BAE" w:rsidRPr="00EA1C7D" w:rsidRDefault="00E30BAE" w:rsidP="00E30BAE">
      <w:pPr>
        <w:contextualSpacing/>
        <w:rPr>
          <w:rFonts w:ascii="Times New Roman" w:hAnsi="Times New Roman" w:cs="Times New Roman"/>
          <w:i/>
          <w:szCs w:val="20"/>
          <w:lang w:val="en-US"/>
        </w:rPr>
      </w:pPr>
      <w:r w:rsidRPr="00EA1C7D">
        <w:rPr>
          <w:rFonts w:ascii="Times New Roman" w:hAnsi="Times New Roman" w:cs="Times New Roman"/>
          <w:b/>
          <w:i/>
          <w:szCs w:val="20"/>
          <w:lang w:val="en-US"/>
        </w:rPr>
        <w:t xml:space="preserve">Figure </w:t>
      </w:r>
      <w:r>
        <w:rPr>
          <w:rFonts w:ascii="Times New Roman" w:hAnsi="Times New Roman" w:cs="Times New Roman"/>
          <w:b/>
          <w:i/>
          <w:szCs w:val="20"/>
          <w:lang w:val="en-US"/>
        </w:rPr>
        <w:t>4</w:t>
      </w:r>
      <w:r w:rsidRPr="00EA1C7D">
        <w:rPr>
          <w:rFonts w:ascii="Times New Roman" w:hAnsi="Times New Roman" w:cs="Times New Roman"/>
          <w:i/>
          <w:szCs w:val="20"/>
          <w:lang w:val="en-US"/>
        </w:rPr>
        <w:t>. Annual average fishing intensity (2010-2012) with seabed impact at the surface level by main gear groups. Left: Otter Trawl, middle: Demersal Seine, right: Dredge.</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Figure </w:t>
      </w:r>
      <w:r>
        <w:rPr>
          <w:szCs w:val="20"/>
          <w:lang w:val="en-US"/>
        </w:rPr>
        <w:t>5</w:t>
      </w:r>
      <w:r w:rsidRPr="00EA1C7D">
        <w:rPr>
          <w:szCs w:val="20"/>
          <w:lang w:val="en-US"/>
        </w:rPr>
        <w:t xml:space="preserve"> shows the footprints estimated by metric </w:t>
      </w:r>
      <w:proofErr w:type="spellStart"/>
      <w:r w:rsidRPr="00EA1C7D">
        <w:rPr>
          <w:szCs w:val="20"/>
          <w:lang w:val="en-US"/>
        </w:rPr>
        <w:t>i</w:t>
      </w:r>
      <w:proofErr w:type="spellEnd"/>
      <w:r w:rsidRPr="00EA1C7D">
        <w:rPr>
          <w:szCs w:val="20"/>
          <w:lang w:val="en-US"/>
        </w:rPr>
        <w:t xml:space="preserve"> (the percentage of all the grid cells trawled, irrespective of intensity) and metric ii (area of the seabed trawled at least once a year) alongside the relative surface area of the habitat type. The analysis shows that otter trawling takes place extensively in all habitat types and that the proportion of grid cells trawled ranges between 40% and 80%, also for the hard substrates </w:t>
      </w:r>
      <w:r w:rsidRPr="00EA1C7D">
        <w:rPr>
          <w:szCs w:val="20"/>
          <w:lang w:val="en-US"/>
        </w:rPr>
        <w:lastRenderedPageBreak/>
        <w:t xml:space="preserve">(circa- and </w:t>
      </w:r>
      <w:proofErr w:type="spellStart"/>
      <w:r w:rsidRPr="00EA1C7D">
        <w:rPr>
          <w:szCs w:val="20"/>
          <w:lang w:val="en-US"/>
        </w:rPr>
        <w:t>infralittoral</w:t>
      </w:r>
      <w:proofErr w:type="spellEnd"/>
      <w:r w:rsidRPr="00EA1C7D">
        <w:rPr>
          <w:szCs w:val="20"/>
          <w:lang w:val="en-US"/>
        </w:rPr>
        <w:t xml:space="preserve"> rock). Dredging and seining only takes place on</w:t>
      </w:r>
      <w:r w:rsidRPr="00EA1C7D">
        <w:rPr>
          <w:sz w:val="24"/>
          <w:lang w:val="en-US"/>
        </w:rPr>
        <w:t xml:space="preserve"> </w:t>
      </w:r>
      <w:r w:rsidRPr="00EA1C7D">
        <w:rPr>
          <w:szCs w:val="20"/>
          <w:lang w:val="en-US"/>
        </w:rPr>
        <w:t xml:space="preserve">sublittoral sand (A5.2), sublittoral mud (A5.3) and sublittoral mixed sediments (A5.4), with a clear preference for sand for the seiners. Both these fishing gears have much smaller footprints compared to otter trawling (less than 15% across all habitat types). For all gears and habitats metric </w:t>
      </w:r>
      <w:proofErr w:type="spellStart"/>
      <w:r w:rsidRPr="00EA1C7D">
        <w:rPr>
          <w:szCs w:val="20"/>
          <w:lang w:val="en-US"/>
        </w:rPr>
        <w:t>i</w:t>
      </w:r>
      <w:proofErr w:type="spellEnd"/>
      <w:r w:rsidRPr="00EA1C7D">
        <w:rPr>
          <w:szCs w:val="20"/>
          <w:lang w:val="en-US"/>
        </w:rPr>
        <w:t xml:space="preserve"> and metric ii provide almost identical estimates.</w:t>
      </w:r>
    </w:p>
    <w:p w:rsidR="00E30BAE" w:rsidRPr="00EA1C7D" w:rsidRDefault="00E30BAE" w:rsidP="00E30BAE">
      <w:pPr>
        <w:contextualSpacing/>
        <w:rPr>
          <w:szCs w:val="20"/>
          <w:lang w:val="en-US"/>
        </w:rPr>
      </w:pPr>
    </w:p>
    <w:p w:rsidR="00E30BAE" w:rsidRPr="00EA1C7D" w:rsidRDefault="00E30BAE" w:rsidP="00E30BAE">
      <w:pPr>
        <w:contextualSpacing/>
        <w:jc w:val="center"/>
        <w:rPr>
          <w:szCs w:val="20"/>
          <w:lang w:val="en-US"/>
        </w:rPr>
      </w:pPr>
      <w:r w:rsidRPr="00EA1C7D">
        <w:rPr>
          <w:noProof/>
          <w:szCs w:val="20"/>
          <w:lang w:eastAsia="fi-FI"/>
        </w:rPr>
        <w:drawing>
          <wp:inline distT="0" distB="0" distL="0" distR="0" wp14:anchorId="427633A6" wp14:editId="4BA851ED">
            <wp:extent cx="4800000" cy="5760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_seabed_bottom_gears_in_wbalt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000" cy="5760000"/>
                    </a:xfrm>
                    <a:prstGeom prst="rect">
                      <a:avLst/>
                    </a:prstGeom>
                  </pic:spPr>
                </pic:pic>
              </a:graphicData>
            </a:graphic>
          </wp:inline>
        </w:drawing>
      </w:r>
    </w:p>
    <w:p w:rsidR="00E30BAE" w:rsidRPr="00EA1C7D" w:rsidRDefault="00E30BAE" w:rsidP="00E30BAE">
      <w:pPr>
        <w:contextualSpacing/>
        <w:rPr>
          <w:rFonts w:ascii="Times New Roman" w:hAnsi="Times New Roman" w:cs="Times New Roman"/>
          <w:i/>
          <w:szCs w:val="20"/>
          <w:lang w:val="en-US"/>
        </w:rPr>
      </w:pPr>
    </w:p>
    <w:p w:rsidR="00E30BAE" w:rsidRPr="00EA1C7D" w:rsidRDefault="00E30BAE" w:rsidP="00E30BAE">
      <w:pPr>
        <w:contextualSpacing/>
        <w:rPr>
          <w:rFonts w:ascii="Times New Roman" w:hAnsi="Times New Roman" w:cs="Times New Roman"/>
          <w:i/>
          <w:szCs w:val="20"/>
          <w:lang w:val="en-US"/>
        </w:rPr>
      </w:pPr>
      <w:r w:rsidRPr="00EA1C7D">
        <w:rPr>
          <w:rFonts w:ascii="Times New Roman" w:hAnsi="Times New Roman" w:cs="Times New Roman"/>
          <w:b/>
          <w:i/>
          <w:szCs w:val="20"/>
          <w:lang w:val="en-US"/>
        </w:rPr>
        <w:t xml:space="preserve">Figure </w:t>
      </w:r>
      <w:r>
        <w:rPr>
          <w:rFonts w:ascii="Times New Roman" w:hAnsi="Times New Roman" w:cs="Times New Roman"/>
          <w:b/>
          <w:i/>
          <w:szCs w:val="20"/>
          <w:lang w:val="en-US"/>
        </w:rPr>
        <w:t>5</w:t>
      </w:r>
      <w:r w:rsidRPr="00EA1C7D">
        <w:rPr>
          <w:rFonts w:ascii="Times New Roman" w:hAnsi="Times New Roman" w:cs="Times New Roman"/>
          <w:i/>
          <w:szCs w:val="20"/>
          <w:lang w:val="en-US"/>
        </w:rPr>
        <w:t xml:space="preserve">. Footprint per EUNIS habitat within SD 22-24 and per fishing activity (Dredge, Seine, Otter Trawl) from Danish, Swedish and German fleets. The trawling footprint is estimated by metric </w:t>
      </w:r>
      <w:proofErr w:type="spellStart"/>
      <w:r w:rsidRPr="00EA1C7D">
        <w:rPr>
          <w:rFonts w:ascii="Times New Roman" w:hAnsi="Times New Roman" w:cs="Times New Roman"/>
          <w:i/>
          <w:szCs w:val="20"/>
          <w:lang w:val="en-US"/>
        </w:rPr>
        <w:t>i</w:t>
      </w:r>
      <w:proofErr w:type="spellEnd"/>
      <w:r w:rsidRPr="00EA1C7D">
        <w:rPr>
          <w:rFonts w:ascii="Times New Roman" w:hAnsi="Times New Roman" w:cs="Times New Roman"/>
          <w:i/>
          <w:szCs w:val="20"/>
          <w:lang w:val="en-US"/>
        </w:rPr>
        <w:t xml:space="preserve"> (the percentage of all the grid cells trawled, irrespective of intensity, grey bars) and metric ii (area of the seabed trawled at least once a year, white bars) and plotted alongside the relative surface area of each habitat type in the studied area (black bars).</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Seabed integrity estimated at the subsurface level revealed that most grid cells either have a low (&lt;0.18) or a high (&gt;0.82) integrity (Figure </w:t>
      </w:r>
      <w:r>
        <w:rPr>
          <w:szCs w:val="20"/>
          <w:lang w:val="en-US"/>
        </w:rPr>
        <w:t>6</w:t>
      </w:r>
      <w:r w:rsidRPr="00EA1C7D">
        <w:rPr>
          <w:szCs w:val="20"/>
          <w:lang w:val="en-US"/>
        </w:rPr>
        <w:t xml:space="preserve">). More intermediate values are only observed in smaller areas north of Bornholm, in the </w:t>
      </w:r>
      <w:proofErr w:type="spellStart"/>
      <w:r w:rsidRPr="00EA1C7D">
        <w:rPr>
          <w:szCs w:val="20"/>
          <w:lang w:val="en-US"/>
        </w:rPr>
        <w:t>Arkona</w:t>
      </w:r>
      <w:proofErr w:type="spellEnd"/>
      <w:r w:rsidRPr="00EA1C7D">
        <w:rPr>
          <w:szCs w:val="20"/>
          <w:lang w:val="en-US"/>
        </w:rPr>
        <w:t xml:space="preserve"> Basin and in the Kiel and Mecklenburg Bays. </w:t>
      </w:r>
    </w:p>
    <w:p w:rsidR="00E30BAE" w:rsidRPr="00EA1C7D" w:rsidRDefault="00E30BAE" w:rsidP="00E30BAE">
      <w:pPr>
        <w:contextualSpacing/>
        <w:jc w:val="center"/>
        <w:rPr>
          <w:szCs w:val="20"/>
          <w:lang w:val="en-US"/>
        </w:rPr>
      </w:pPr>
      <w:r w:rsidRPr="00EA1C7D">
        <w:rPr>
          <w:noProof/>
          <w:szCs w:val="20"/>
          <w:lang w:eastAsia="fi-FI"/>
        </w:rPr>
        <w:lastRenderedPageBreak/>
        <w:drawing>
          <wp:inline distT="0" distB="0" distL="0" distR="0" wp14:anchorId="135BDD26" wp14:editId="463FAB6F">
            <wp:extent cx="2966439" cy="306000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this_sbi_wbaltic.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439" cy="3060000"/>
                    </a:xfrm>
                    <a:prstGeom prst="rect">
                      <a:avLst/>
                    </a:prstGeom>
                  </pic:spPr>
                </pic:pic>
              </a:graphicData>
            </a:graphic>
          </wp:inline>
        </w:drawing>
      </w:r>
    </w:p>
    <w:p w:rsidR="00E30BAE" w:rsidRPr="00EA1C7D" w:rsidRDefault="00E30BAE" w:rsidP="00E30BAE">
      <w:pPr>
        <w:contextualSpacing/>
        <w:rPr>
          <w:rFonts w:ascii="Times New Roman" w:hAnsi="Times New Roman" w:cs="Times New Roman"/>
          <w:i/>
          <w:szCs w:val="20"/>
          <w:lang w:val="en-US"/>
        </w:rPr>
      </w:pPr>
      <w:r w:rsidRPr="00EA1C7D">
        <w:rPr>
          <w:rFonts w:ascii="Times New Roman" w:hAnsi="Times New Roman" w:cs="Times New Roman"/>
          <w:b/>
          <w:i/>
          <w:szCs w:val="20"/>
          <w:lang w:val="en-US"/>
        </w:rPr>
        <w:t xml:space="preserve">Figure </w:t>
      </w:r>
      <w:r>
        <w:rPr>
          <w:rFonts w:ascii="Times New Roman" w:hAnsi="Times New Roman" w:cs="Times New Roman"/>
          <w:b/>
          <w:i/>
          <w:szCs w:val="20"/>
          <w:lang w:val="en-US"/>
        </w:rPr>
        <w:t>6</w:t>
      </w:r>
      <w:r w:rsidRPr="00EA1C7D">
        <w:rPr>
          <w:rFonts w:ascii="Times New Roman" w:hAnsi="Times New Roman" w:cs="Times New Roman"/>
          <w:i/>
          <w:szCs w:val="20"/>
          <w:lang w:val="en-US"/>
        </w:rPr>
        <w:t xml:space="preserve">. Seabed integrity </w:t>
      </w:r>
      <w:r>
        <w:rPr>
          <w:rFonts w:ascii="Times New Roman" w:hAnsi="Times New Roman" w:cs="Times New Roman"/>
          <w:i/>
          <w:szCs w:val="20"/>
          <w:lang w:val="en-US"/>
        </w:rPr>
        <w:t>Index</w:t>
      </w:r>
      <w:r w:rsidRPr="00EA1C7D">
        <w:rPr>
          <w:rFonts w:ascii="Times New Roman" w:hAnsi="Times New Roman" w:cs="Times New Roman"/>
          <w:i/>
          <w:szCs w:val="20"/>
          <w:lang w:val="en-US"/>
        </w:rPr>
        <w:t xml:space="preserve"> (SBI) values corresponding to the </w:t>
      </w:r>
      <w:r>
        <w:rPr>
          <w:rFonts w:ascii="Times New Roman" w:hAnsi="Times New Roman" w:cs="Times New Roman"/>
          <w:i/>
          <w:szCs w:val="20"/>
          <w:lang w:val="en-US"/>
        </w:rPr>
        <w:t>sub</w:t>
      </w:r>
      <w:r w:rsidRPr="00EA1C7D">
        <w:rPr>
          <w:rFonts w:ascii="Times New Roman" w:hAnsi="Times New Roman" w:cs="Times New Roman"/>
          <w:i/>
          <w:szCs w:val="20"/>
          <w:lang w:val="en-US"/>
        </w:rPr>
        <w:t xml:space="preserve">surface trawling intensities  (after Rijnsdorp et al, 2016, and Eigaard </w:t>
      </w:r>
      <w:r w:rsidRPr="00060671">
        <w:rPr>
          <w:rFonts w:ascii="Times New Roman" w:hAnsi="Times New Roman" w:cs="Times New Roman"/>
          <w:i/>
          <w:szCs w:val="20"/>
          <w:lang w:val="en-US"/>
        </w:rPr>
        <w:t>et al.</w:t>
      </w:r>
      <w:r w:rsidRPr="00EA1C7D">
        <w:rPr>
          <w:rFonts w:ascii="Times New Roman" w:hAnsi="Times New Roman" w:cs="Times New Roman"/>
          <w:i/>
          <w:szCs w:val="20"/>
          <w:lang w:val="en-US"/>
        </w:rPr>
        <w:t xml:space="preserve">2016, accepted) For the seabed integrity indicator, 0=all taxa impacted and 1=no taxa impacted). The white areas show grid cells that were </w:t>
      </w:r>
      <w:proofErr w:type="spellStart"/>
      <w:r w:rsidRPr="00EA1C7D">
        <w:rPr>
          <w:rFonts w:ascii="Times New Roman" w:hAnsi="Times New Roman" w:cs="Times New Roman"/>
          <w:i/>
          <w:szCs w:val="20"/>
          <w:lang w:val="en-US"/>
        </w:rPr>
        <w:t>untrawled</w:t>
      </w:r>
      <w:proofErr w:type="spellEnd"/>
      <w:r w:rsidRPr="00EA1C7D">
        <w:rPr>
          <w:rFonts w:ascii="Times New Roman" w:hAnsi="Times New Roman" w:cs="Times New Roman"/>
          <w:i/>
          <w:szCs w:val="20"/>
          <w:lang w:val="en-US"/>
        </w:rPr>
        <w:t>.</w:t>
      </w:r>
    </w:p>
    <w:p w:rsidR="00E30BAE" w:rsidRPr="00EA1C7D" w:rsidRDefault="00E30BAE" w:rsidP="00E30BAE">
      <w:pPr>
        <w:contextualSpacing/>
        <w:rPr>
          <w:rFonts w:ascii="Times New Roman" w:hAnsi="Times New Roman" w:cs="Times New Roman"/>
          <w:i/>
          <w:szCs w:val="20"/>
          <w:lang w:val="en-US"/>
        </w:rPr>
      </w:pPr>
    </w:p>
    <w:p w:rsidR="00E30BAE" w:rsidRPr="00EA1C7D" w:rsidRDefault="00E30BAE" w:rsidP="00E30BAE">
      <w:pPr>
        <w:contextualSpacing/>
        <w:rPr>
          <w:szCs w:val="20"/>
          <w:lang w:val="en-US"/>
        </w:rPr>
      </w:pPr>
      <w:r w:rsidRPr="00EA1C7D">
        <w:rPr>
          <w:szCs w:val="20"/>
          <w:lang w:val="en-US"/>
        </w:rPr>
        <w:t xml:space="preserve">The importance of coupling the spatial occurrences of fishing to the logbook declaration was illustrated by characterizing the cod spatial origin of the (retained) catches within the Baltic Sea made by a subset of the Danish fishers (Figure </w:t>
      </w:r>
      <w:r>
        <w:rPr>
          <w:szCs w:val="20"/>
          <w:lang w:val="en-US"/>
        </w:rPr>
        <w:t>7</w:t>
      </w:r>
      <w:r w:rsidRPr="00EA1C7D">
        <w:rPr>
          <w:szCs w:val="20"/>
          <w:lang w:val="en-US"/>
        </w:rPr>
        <w:t xml:space="preserve">, from Bastardie </w:t>
      </w:r>
      <w:r w:rsidRPr="00060671">
        <w:rPr>
          <w:i/>
          <w:szCs w:val="20"/>
          <w:lang w:val="en-US"/>
        </w:rPr>
        <w:t>et al.</w:t>
      </w:r>
      <w:r w:rsidRPr="00EA1C7D">
        <w:rPr>
          <w:szCs w:val="20"/>
          <w:lang w:val="en-US"/>
        </w:rPr>
        <w:t xml:space="preserve"> 2016).  Using recent development in the analysis of fisheries data, in particular </w:t>
      </w:r>
      <w:proofErr w:type="spellStart"/>
      <w:r w:rsidRPr="00EA1C7D">
        <w:rPr>
          <w:szCs w:val="20"/>
          <w:lang w:val="en-US"/>
        </w:rPr>
        <w:t>VMStools</w:t>
      </w:r>
      <w:proofErr w:type="spellEnd"/>
      <w:r w:rsidRPr="00EA1C7D">
        <w:rPr>
          <w:szCs w:val="20"/>
          <w:lang w:val="en-US"/>
        </w:rPr>
        <w:t xml:space="preserve"> presented in </w:t>
      </w:r>
      <w:proofErr w:type="spellStart"/>
      <w:r w:rsidRPr="00EA1C7D">
        <w:rPr>
          <w:szCs w:val="20"/>
          <w:lang w:val="en-US"/>
        </w:rPr>
        <w:t>Hintzen</w:t>
      </w:r>
      <w:proofErr w:type="spellEnd"/>
      <w:r w:rsidRPr="00EA1C7D">
        <w:rPr>
          <w:szCs w:val="20"/>
          <w:lang w:val="en-US"/>
        </w:rPr>
        <w:t xml:space="preserve"> </w:t>
      </w:r>
      <w:r w:rsidRPr="00060671">
        <w:rPr>
          <w:i/>
          <w:szCs w:val="20"/>
          <w:lang w:val="en-US"/>
        </w:rPr>
        <w:t>et al.</w:t>
      </w:r>
      <w:r w:rsidRPr="00EA1C7D">
        <w:rPr>
          <w:szCs w:val="20"/>
          <w:lang w:val="en-US"/>
        </w:rPr>
        <w:t xml:space="preserve"> (2012), we show that the fine spatial distribution of the catches can be obtained by different type of gears. This is at a much lower geographical scale that it was available so far (at best, the ICES rectangle) which creates useful new information on various fisheries spatial impact–related aspects.</w:t>
      </w:r>
    </w:p>
    <w:p w:rsidR="00E30BAE" w:rsidRPr="00EA1C7D" w:rsidRDefault="00E30BAE" w:rsidP="00E30BAE">
      <w:pPr>
        <w:contextualSpacing/>
        <w:rPr>
          <w:szCs w:val="20"/>
          <w:lang w:val="en-US"/>
        </w:rPr>
      </w:pPr>
    </w:p>
    <w:p w:rsidR="00E30BAE" w:rsidRPr="00EA1C7D" w:rsidRDefault="00E30BAE" w:rsidP="00E30BAE">
      <w:pPr>
        <w:contextualSpacing/>
        <w:jc w:val="center"/>
        <w:rPr>
          <w:szCs w:val="20"/>
          <w:u w:val="single"/>
          <w:lang w:val="en-US"/>
        </w:rPr>
      </w:pPr>
      <w:r w:rsidRPr="00EA1C7D">
        <w:rPr>
          <w:noProof/>
          <w:sz w:val="24"/>
          <w:lang w:eastAsia="fi-FI"/>
        </w:rPr>
        <w:drawing>
          <wp:inline distT="0" distB="0" distL="0" distR="0" wp14:anchorId="13A096BF" wp14:editId="12C3D390">
            <wp:extent cx="3019425" cy="2530704"/>
            <wp:effectExtent l="0" t="0" r="0" b="317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1869" cy="2532752"/>
                    </a:xfrm>
                    <a:prstGeom prst="rect">
                      <a:avLst/>
                    </a:prstGeom>
                    <a:noFill/>
                    <a:ln>
                      <a:noFill/>
                    </a:ln>
                    <a:effectLst/>
                    <a:extLst/>
                  </pic:spPr>
                </pic:pic>
              </a:graphicData>
            </a:graphic>
          </wp:inline>
        </w:drawing>
      </w:r>
    </w:p>
    <w:p w:rsidR="00E30BAE" w:rsidRPr="00EA1C7D" w:rsidRDefault="00E30BAE" w:rsidP="00E30BAE">
      <w:pPr>
        <w:contextualSpacing/>
        <w:rPr>
          <w:rFonts w:ascii="Times New Roman" w:hAnsi="Times New Roman" w:cs="Times New Roman"/>
          <w:i/>
          <w:szCs w:val="20"/>
          <w:lang w:val="en-US"/>
        </w:rPr>
      </w:pPr>
      <w:r w:rsidRPr="00EA1C7D">
        <w:rPr>
          <w:rFonts w:ascii="Times New Roman" w:hAnsi="Times New Roman" w:cs="Times New Roman"/>
          <w:b/>
          <w:i/>
          <w:szCs w:val="20"/>
          <w:lang w:val="en-US"/>
        </w:rPr>
        <w:t xml:space="preserve">Figure </w:t>
      </w:r>
      <w:r>
        <w:rPr>
          <w:rFonts w:ascii="Times New Roman" w:hAnsi="Times New Roman" w:cs="Times New Roman"/>
          <w:b/>
          <w:i/>
          <w:szCs w:val="20"/>
          <w:lang w:val="en-US"/>
        </w:rPr>
        <w:t>7</w:t>
      </w:r>
      <w:r w:rsidRPr="00EA1C7D">
        <w:rPr>
          <w:rFonts w:ascii="Times New Roman" w:hAnsi="Times New Roman" w:cs="Times New Roman"/>
          <w:i/>
          <w:szCs w:val="20"/>
          <w:lang w:val="en-US"/>
        </w:rPr>
        <w:t xml:space="preserve">. The Central Baltic Sea region with ICES area </w:t>
      </w:r>
      <w:proofErr w:type="spellStart"/>
      <w:r w:rsidRPr="00EA1C7D">
        <w:rPr>
          <w:rFonts w:ascii="Times New Roman" w:hAnsi="Times New Roman" w:cs="Times New Roman"/>
          <w:i/>
          <w:szCs w:val="20"/>
          <w:lang w:val="en-US"/>
        </w:rPr>
        <w:t>codings</w:t>
      </w:r>
      <w:proofErr w:type="spellEnd"/>
      <w:r w:rsidRPr="00EA1C7D">
        <w:rPr>
          <w:rFonts w:ascii="Times New Roman" w:hAnsi="Times New Roman" w:cs="Times New Roman"/>
          <w:i/>
          <w:szCs w:val="20"/>
          <w:lang w:val="en-US"/>
        </w:rPr>
        <w:t xml:space="preserve"> and bathymetry (in blue levels) are shown together with the spatial origin of the 2012 cod landings in kg</w:t>
      </w:r>
      <w:r>
        <w:rPr>
          <w:rFonts w:ascii="Times New Roman" w:hAnsi="Times New Roman" w:cs="Times New Roman"/>
          <w:i/>
          <w:szCs w:val="20"/>
          <w:lang w:val="en-US"/>
        </w:rPr>
        <w:t xml:space="preserve"> (red levels circles)</w:t>
      </w:r>
      <w:r w:rsidRPr="00EA1C7D">
        <w:rPr>
          <w:rFonts w:ascii="Times New Roman" w:hAnsi="Times New Roman" w:cs="Times New Roman"/>
          <w:i/>
          <w:szCs w:val="20"/>
          <w:lang w:val="en-US"/>
        </w:rPr>
        <w:t xml:space="preserve">. Source: Bastardie </w:t>
      </w:r>
      <w:r w:rsidRPr="00060671">
        <w:rPr>
          <w:rFonts w:ascii="Times New Roman" w:hAnsi="Times New Roman" w:cs="Times New Roman"/>
          <w:i/>
          <w:szCs w:val="20"/>
          <w:lang w:val="en-US"/>
        </w:rPr>
        <w:t>et al.</w:t>
      </w:r>
      <w:r w:rsidRPr="00EA1C7D">
        <w:rPr>
          <w:rFonts w:ascii="Times New Roman" w:hAnsi="Times New Roman" w:cs="Times New Roman"/>
          <w:i/>
          <w:szCs w:val="20"/>
          <w:lang w:val="en-US"/>
        </w:rPr>
        <w:t xml:space="preserve"> 2016.</w:t>
      </w:r>
    </w:p>
    <w:p w:rsidR="00E30BAE" w:rsidRPr="00EA1C7D" w:rsidRDefault="00E30BAE" w:rsidP="00E30BAE">
      <w:pPr>
        <w:contextualSpacing/>
        <w:rPr>
          <w:szCs w:val="20"/>
          <w:lang w:val="en-US"/>
        </w:rPr>
      </w:pPr>
    </w:p>
    <w:p w:rsidR="00E30BAE" w:rsidRPr="00EA1C7D" w:rsidRDefault="00E30BAE" w:rsidP="00E30BAE">
      <w:pPr>
        <w:contextualSpacing/>
        <w:rPr>
          <w:b/>
          <w:szCs w:val="20"/>
          <w:lang w:val="en-US"/>
        </w:rPr>
      </w:pPr>
      <w:r w:rsidRPr="00EA1C7D">
        <w:rPr>
          <w:b/>
          <w:szCs w:val="20"/>
          <w:lang w:val="en-US"/>
        </w:rPr>
        <w:t>Discussion</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lastRenderedPageBreak/>
        <w:t xml:space="preserve">The maps of trawling intensity show a somewhat different picture for Kattegat and the Western Baltic area. In Kattegat approximately half the area (western part) is </w:t>
      </w:r>
      <w:proofErr w:type="spellStart"/>
      <w:r w:rsidRPr="00EA1C7D">
        <w:rPr>
          <w:szCs w:val="20"/>
          <w:lang w:val="en-US"/>
        </w:rPr>
        <w:t>untrawled</w:t>
      </w:r>
      <w:proofErr w:type="spellEnd"/>
      <w:r w:rsidRPr="00EA1C7D">
        <w:rPr>
          <w:szCs w:val="20"/>
          <w:lang w:val="en-US"/>
        </w:rPr>
        <w:t xml:space="preserve"> or trawled at low intensities, whereas practically all the eastern half is trawled at intensities above 10. This apparent either-or level of fishing pressure most likely reflects that </w:t>
      </w:r>
      <w:proofErr w:type="spellStart"/>
      <w:r w:rsidRPr="00EA1C7D">
        <w:rPr>
          <w:szCs w:val="20"/>
          <w:lang w:val="en-US"/>
        </w:rPr>
        <w:t>Nephrops</w:t>
      </w:r>
      <w:proofErr w:type="spellEnd"/>
      <w:r w:rsidRPr="00EA1C7D">
        <w:rPr>
          <w:szCs w:val="20"/>
          <w:lang w:val="en-US"/>
        </w:rPr>
        <w:t xml:space="preserve"> trawling is the dominant fishery in Kattegat and that this species is very abundant throughout the deeper soft-sediment parts (eastern half of Kattegat) but not present at all in the shallower areas (western half).</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In contrast,</w:t>
      </w:r>
      <w:r>
        <w:rPr>
          <w:szCs w:val="20"/>
          <w:lang w:val="en-US"/>
        </w:rPr>
        <w:t xml:space="preserve"> the w</w:t>
      </w:r>
      <w:r w:rsidRPr="00EA1C7D">
        <w:rPr>
          <w:szCs w:val="20"/>
          <w:lang w:val="en-US"/>
        </w:rPr>
        <w:t>estern Baltic area has a more heterogeneous distribution pattern of fishing pressure with intensive bottom trawling in localized areas, and medium to low-intensity trawling elsewhere. It is likely that this heterogeneity in the western Baltic reflects certain morphological features, such as gradients in bathymetry, changes in bottom type or the occurrence of un-</w:t>
      </w:r>
      <w:proofErr w:type="spellStart"/>
      <w:r w:rsidRPr="00EA1C7D">
        <w:rPr>
          <w:szCs w:val="20"/>
          <w:lang w:val="en-US"/>
        </w:rPr>
        <w:t>trawlable</w:t>
      </w:r>
      <w:proofErr w:type="spellEnd"/>
      <w:r w:rsidRPr="00EA1C7D">
        <w:rPr>
          <w:szCs w:val="20"/>
          <w:lang w:val="en-US"/>
        </w:rPr>
        <w:t xml:space="preserve"> grounds. A second mechanism generating trawling hotspots and heterogeneity is related to the patchiness in the distribution patterns of the target fish and their prey (Rijnsdorp </w:t>
      </w:r>
      <w:r w:rsidRPr="00060671">
        <w:rPr>
          <w:i/>
          <w:szCs w:val="20"/>
          <w:lang w:val="en-US"/>
        </w:rPr>
        <w:t>et al.</w:t>
      </w:r>
      <w:r w:rsidRPr="00EA1C7D">
        <w:rPr>
          <w:szCs w:val="20"/>
          <w:lang w:val="en-US"/>
        </w:rPr>
        <w:t xml:space="preserve">, 2011; Ellis </w:t>
      </w:r>
      <w:r w:rsidRPr="00060671">
        <w:rPr>
          <w:i/>
          <w:szCs w:val="20"/>
          <w:lang w:val="en-US"/>
        </w:rPr>
        <w:t>et al.</w:t>
      </w:r>
      <w:r w:rsidRPr="00EA1C7D">
        <w:rPr>
          <w:szCs w:val="20"/>
          <w:lang w:val="en-US"/>
        </w:rPr>
        <w:t xml:space="preserve">, 2014). Cod is the dominating target species in the Western Baltic and this species can be expected to be patchier in distribution than the </w:t>
      </w:r>
      <w:proofErr w:type="spellStart"/>
      <w:r w:rsidRPr="00EA1C7D">
        <w:rPr>
          <w:szCs w:val="20"/>
          <w:lang w:val="en-US"/>
        </w:rPr>
        <w:t>Nephrops</w:t>
      </w:r>
      <w:proofErr w:type="spellEnd"/>
      <w:r w:rsidRPr="00EA1C7D">
        <w:rPr>
          <w:szCs w:val="20"/>
          <w:lang w:val="en-US"/>
        </w:rPr>
        <w:t xml:space="preserve"> in Kattegat.</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The difference in the dominating target species of the two areas is also reflected in the subsurface trawling intensity map, where it is clearly reflected that the gear-footprint of a </w:t>
      </w:r>
      <w:proofErr w:type="spellStart"/>
      <w:r w:rsidRPr="00EA1C7D">
        <w:rPr>
          <w:szCs w:val="20"/>
          <w:lang w:val="en-US"/>
        </w:rPr>
        <w:t>Nephrops</w:t>
      </w:r>
      <w:proofErr w:type="spellEnd"/>
      <w:r w:rsidRPr="00EA1C7D">
        <w:rPr>
          <w:szCs w:val="20"/>
          <w:lang w:val="en-US"/>
        </w:rPr>
        <w:t xml:space="preserve"> trawl in Kattegat has a substantially higher proportion of subsurface impact than the gear-footprint of a cod trawl in the Western Baltic (Eigaard </w:t>
      </w:r>
      <w:r w:rsidRPr="00060671">
        <w:rPr>
          <w:i/>
          <w:szCs w:val="20"/>
          <w:lang w:val="en-US"/>
        </w:rPr>
        <w:t>et al.</w:t>
      </w:r>
      <w:r>
        <w:rPr>
          <w:szCs w:val="20"/>
          <w:lang w:val="en-US"/>
        </w:rPr>
        <w:t>,</w:t>
      </w:r>
      <w:r w:rsidRPr="00EA1C7D">
        <w:rPr>
          <w:szCs w:val="20"/>
          <w:lang w:val="en-US"/>
        </w:rPr>
        <w:t xml:space="preserve"> 2016a).</w:t>
      </w:r>
    </w:p>
    <w:p w:rsidR="00E30BAE" w:rsidRPr="00EA1C7D" w:rsidRDefault="00E30BAE" w:rsidP="00E30BAE">
      <w:pPr>
        <w:contextualSpacing/>
        <w:rPr>
          <w:szCs w:val="20"/>
          <w:lang w:val="en-US"/>
        </w:rPr>
      </w:pPr>
      <w:r w:rsidRPr="00EA1C7D">
        <w:rPr>
          <w:szCs w:val="20"/>
          <w:lang w:val="en-US"/>
        </w:rPr>
        <w:t xml:space="preserve"> </w:t>
      </w:r>
    </w:p>
    <w:p w:rsidR="00E30BAE" w:rsidRPr="00EA1C7D" w:rsidRDefault="00E30BAE" w:rsidP="00E30BAE">
      <w:pPr>
        <w:contextualSpacing/>
        <w:rPr>
          <w:szCs w:val="20"/>
          <w:lang w:val="en-US"/>
        </w:rPr>
      </w:pPr>
      <w:r w:rsidRPr="00EA1C7D">
        <w:rPr>
          <w:szCs w:val="20"/>
          <w:lang w:val="en-US"/>
        </w:rPr>
        <w:t xml:space="preserve">The analysis of footprints per habitat and gear type demonstrated that otter trawling takes place extensively in all habitat types. The broad diversity of habitats trawled, ranging from muddy or sandy sediments, via coarse and mixed sediments to rock and other hard substrata, is related to the wide range of bottom trawls and technology that has evolved over time and allowed fishers to move into formerly </w:t>
      </w:r>
      <w:proofErr w:type="spellStart"/>
      <w:r w:rsidRPr="00EA1C7D">
        <w:rPr>
          <w:szCs w:val="20"/>
          <w:lang w:val="en-US"/>
        </w:rPr>
        <w:t>untrawlable</w:t>
      </w:r>
      <w:proofErr w:type="spellEnd"/>
      <w:r w:rsidRPr="00EA1C7D">
        <w:rPr>
          <w:szCs w:val="20"/>
          <w:lang w:val="en-US"/>
        </w:rPr>
        <w:t xml:space="preserve"> habitats (</w:t>
      </w:r>
      <w:proofErr w:type="spellStart"/>
      <w:r w:rsidRPr="00EA1C7D">
        <w:rPr>
          <w:szCs w:val="20"/>
          <w:lang w:val="en-US"/>
        </w:rPr>
        <w:t>Valdemarsen</w:t>
      </w:r>
      <w:proofErr w:type="spellEnd"/>
      <w:r w:rsidRPr="00EA1C7D">
        <w:rPr>
          <w:szCs w:val="20"/>
          <w:lang w:val="en-US"/>
        </w:rPr>
        <w:t xml:space="preserve">, 2001; Rijnsdorp </w:t>
      </w:r>
      <w:r w:rsidRPr="00060671">
        <w:rPr>
          <w:i/>
          <w:szCs w:val="20"/>
          <w:lang w:val="en-US"/>
        </w:rPr>
        <w:t>et al.</w:t>
      </w:r>
      <w:r w:rsidRPr="00EA1C7D">
        <w:rPr>
          <w:szCs w:val="20"/>
          <w:lang w:val="en-US"/>
        </w:rPr>
        <w:t xml:space="preserve">, 2008; Eigaard </w:t>
      </w:r>
      <w:r w:rsidRPr="00060671">
        <w:rPr>
          <w:i/>
          <w:szCs w:val="20"/>
          <w:lang w:val="en-US"/>
        </w:rPr>
        <w:t>et al.</w:t>
      </w:r>
      <w:r w:rsidRPr="00EA1C7D">
        <w:rPr>
          <w:szCs w:val="20"/>
          <w:lang w:val="en-US"/>
        </w:rPr>
        <w:t xml:space="preserve">, 2014). In contrast, demersal seining in the area has a clear preference for sandy habitats, reflecting this gear type’s poorer ability to fish on rougher bottom (Eigaard </w:t>
      </w:r>
      <w:r w:rsidRPr="00060671">
        <w:rPr>
          <w:i/>
          <w:szCs w:val="20"/>
          <w:lang w:val="en-US"/>
        </w:rPr>
        <w:t>et al.</w:t>
      </w:r>
      <w:r>
        <w:rPr>
          <w:szCs w:val="20"/>
          <w:lang w:val="en-US"/>
        </w:rPr>
        <w:t>,</w:t>
      </w:r>
      <w:r w:rsidRPr="00EA1C7D">
        <w:rPr>
          <w:szCs w:val="20"/>
          <w:lang w:val="en-US"/>
        </w:rPr>
        <w:t xml:space="preserve"> 2016a).</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 xml:space="preserve">For all gears and habitats metric </w:t>
      </w:r>
      <w:r>
        <w:rPr>
          <w:szCs w:val="20"/>
          <w:lang w:val="en-US"/>
        </w:rPr>
        <w:t>(</w:t>
      </w:r>
      <w:proofErr w:type="spellStart"/>
      <w:r w:rsidRPr="00EA1C7D">
        <w:rPr>
          <w:szCs w:val="20"/>
          <w:lang w:val="en-US"/>
        </w:rPr>
        <w:t>i</w:t>
      </w:r>
      <w:proofErr w:type="spellEnd"/>
      <w:r>
        <w:rPr>
          <w:szCs w:val="20"/>
          <w:lang w:val="en-US"/>
        </w:rPr>
        <w:t>)</w:t>
      </w:r>
      <w:r w:rsidRPr="00EA1C7D">
        <w:rPr>
          <w:szCs w:val="20"/>
          <w:lang w:val="en-US"/>
        </w:rPr>
        <w:t xml:space="preserve"> and metric </w:t>
      </w:r>
      <w:r>
        <w:rPr>
          <w:szCs w:val="20"/>
          <w:lang w:val="en-US"/>
        </w:rPr>
        <w:t>(</w:t>
      </w:r>
      <w:r w:rsidRPr="00EA1C7D">
        <w:rPr>
          <w:szCs w:val="20"/>
          <w:lang w:val="en-US"/>
        </w:rPr>
        <w:t>ii</w:t>
      </w:r>
      <w:r>
        <w:rPr>
          <w:szCs w:val="20"/>
          <w:lang w:val="en-US"/>
        </w:rPr>
        <w:t>)</w:t>
      </w:r>
      <w:r w:rsidRPr="00EA1C7D">
        <w:rPr>
          <w:szCs w:val="20"/>
          <w:lang w:val="en-US"/>
        </w:rPr>
        <w:t xml:space="preserve"> provided almost identical footprint estimates, reflecting that only a small part of the grid cells are fished at annual intensities less than 1. This means that the Western Baltic bottom trawl fishery is very conservative in nature when it comes to choice of fishing grounds and tends to fish the same grid cells across years (keeping in mind of course that the analysis only covers the period from 2010-2012</w:t>
      </w:r>
      <w:r>
        <w:rPr>
          <w:szCs w:val="20"/>
          <w:lang w:val="en-US"/>
        </w:rPr>
        <w:t xml:space="preserve"> and VMS obligation was extended from 2012 onwards to also cover vessels larger than 12 meter</w:t>
      </w:r>
      <w:r w:rsidRPr="00EA1C7D">
        <w:rPr>
          <w:szCs w:val="20"/>
          <w:lang w:val="en-US"/>
        </w:rPr>
        <w:t>).</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EA1C7D">
        <w:rPr>
          <w:szCs w:val="20"/>
          <w:lang w:val="en-US"/>
        </w:rPr>
        <w:t>In general the seabed integrity of grid cells was either high (&gt;0.82) or low (&lt;0.18). Areas with intermediate seabed integrity were sparse (Figure 5). This dichotomy relates to the trawling intensity profile and the longevity distribution of the benthic community. High seabed integrity will be restricted to grid cells with a trawling intensity of less than 0.1 year</w:t>
      </w:r>
      <w:r w:rsidRPr="00EA1C7D">
        <w:rPr>
          <w:szCs w:val="20"/>
          <w:vertAlign w:val="superscript"/>
          <w:lang w:val="en-US"/>
        </w:rPr>
        <w:t>−1</w:t>
      </w:r>
      <w:r w:rsidRPr="00EA1C7D">
        <w:rPr>
          <w:szCs w:val="20"/>
          <w:lang w:val="en-US"/>
        </w:rPr>
        <w:t>, because taxa with a life span of &gt;10 years comprise &lt; 18% of the biomass of the benthic community. It is only a narrow range of intensity (0.1–0 .5 year</w:t>
      </w:r>
      <w:r w:rsidRPr="00EA1C7D">
        <w:rPr>
          <w:szCs w:val="20"/>
          <w:vertAlign w:val="superscript"/>
          <w:lang w:val="en-US"/>
        </w:rPr>
        <w:t>−1</w:t>
      </w:r>
      <w:r w:rsidRPr="00EA1C7D">
        <w:rPr>
          <w:szCs w:val="20"/>
          <w:lang w:val="en-US"/>
        </w:rPr>
        <w:t>) for which SBI takes middling/moderate values. Most cells have either high or low trawling intensity and so the SBI is either high (&gt;0.82) or low (&lt;0.18), respectively.</w:t>
      </w:r>
    </w:p>
    <w:p w:rsidR="00E30BAE" w:rsidRPr="00EA1C7D" w:rsidRDefault="00E30BAE" w:rsidP="00E30BAE">
      <w:pPr>
        <w:contextualSpacing/>
        <w:rPr>
          <w:szCs w:val="20"/>
          <w:lang w:val="en-US"/>
        </w:rPr>
      </w:pPr>
    </w:p>
    <w:p w:rsidR="00E30BAE" w:rsidRPr="00EA1C7D" w:rsidRDefault="00E30BAE" w:rsidP="00E30BAE">
      <w:pPr>
        <w:contextualSpacing/>
        <w:rPr>
          <w:szCs w:val="20"/>
          <w:lang w:val="en-US"/>
        </w:rPr>
      </w:pPr>
      <w:r w:rsidRPr="00A23776">
        <w:rPr>
          <w:i/>
          <w:szCs w:val="20"/>
          <w:lang w:val="en-US"/>
        </w:rPr>
        <w:t xml:space="preserve">It should, however, be highlighted that the seabed integrity estimated in this paper should be considered as a first attempt. Due to a lack of benthic community information, the same longevity distribution (extrapolated from soft-sediment habitats in the North Sea) was applied to all habitat types in the western Baltic and Kattegat. It is very likely that the longevity distribution of the benthic community will differ across </w:t>
      </w:r>
      <w:r w:rsidRPr="00A23776">
        <w:rPr>
          <w:i/>
          <w:szCs w:val="20"/>
          <w:lang w:val="en-US"/>
        </w:rPr>
        <w:lastRenderedPageBreak/>
        <w:t>habitats.</w:t>
      </w:r>
      <w:r w:rsidRPr="00EA1C7D">
        <w:rPr>
          <w:szCs w:val="20"/>
          <w:lang w:val="en-US"/>
        </w:rPr>
        <w:t xml:space="preserve"> Hence, the extrapolated critical trawling intensity from the North Sea (0.1 year</w:t>
      </w:r>
      <w:r w:rsidRPr="00EA1C7D">
        <w:rPr>
          <w:rFonts w:cs="Calibri"/>
          <w:szCs w:val="20"/>
          <w:vertAlign w:val="superscript"/>
          <w:lang w:val="en-US"/>
        </w:rPr>
        <w:t>−</w:t>
      </w:r>
      <w:r w:rsidRPr="00EA1C7D">
        <w:rPr>
          <w:szCs w:val="20"/>
          <w:vertAlign w:val="superscript"/>
          <w:lang w:val="en-US"/>
        </w:rPr>
        <w:t>1</w:t>
      </w:r>
      <w:r w:rsidRPr="00EA1C7D">
        <w:rPr>
          <w:szCs w:val="20"/>
          <w:lang w:val="en-US"/>
        </w:rPr>
        <w:t xml:space="preserve">) will not be appropriate for e.g. biogenic habitats, which are characterized by taxa with much longer life spans (Clark </w:t>
      </w:r>
      <w:r w:rsidRPr="00060671">
        <w:rPr>
          <w:i/>
          <w:szCs w:val="20"/>
          <w:lang w:val="en-US"/>
        </w:rPr>
        <w:t>et al.</w:t>
      </w:r>
      <w:r w:rsidRPr="00EA1C7D">
        <w:rPr>
          <w:szCs w:val="20"/>
          <w:lang w:val="en-US"/>
        </w:rPr>
        <w:t>, 2016). On the other hand, in habitats exposed to high natural variations, taxa with relatively short life spans may dominate more. Hence, the critical trawling intensity may be refined when information on the longevity distribution of the benthic community becomes available for different habitat types in the Baltic. Also the use of trawling intensities with subsurface impact for estimating seabed integrity (based on the North Sea soft-sediment community) may alternate with the use of surface intensities (e.g. in habitats dominated by emergent fauna) according to improved information of habitat types and community composition.</w:t>
      </w:r>
    </w:p>
    <w:p w:rsidR="00E30BAE" w:rsidRPr="00EA1C7D" w:rsidRDefault="00E30BAE" w:rsidP="00E30BAE">
      <w:pPr>
        <w:contextualSpacing/>
        <w:rPr>
          <w:b/>
          <w:szCs w:val="20"/>
          <w:lang w:val="en-US"/>
        </w:rPr>
      </w:pPr>
    </w:p>
    <w:p w:rsidR="00E30BAE" w:rsidRPr="00EA1C7D" w:rsidRDefault="00E30BAE" w:rsidP="00E30BAE">
      <w:pPr>
        <w:contextualSpacing/>
        <w:rPr>
          <w:b/>
          <w:szCs w:val="20"/>
          <w:lang w:val="en-US"/>
        </w:rPr>
      </w:pPr>
    </w:p>
    <w:p w:rsidR="00E30BAE" w:rsidRPr="00EA1C7D" w:rsidRDefault="00E30BAE" w:rsidP="00E30BAE">
      <w:pPr>
        <w:contextualSpacing/>
        <w:rPr>
          <w:b/>
          <w:szCs w:val="20"/>
          <w:lang w:val="en-US"/>
        </w:rPr>
      </w:pPr>
      <w:r>
        <w:rPr>
          <w:b/>
          <w:szCs w:val="20"/>
          <w:lang w:val="en-US"/>
        </w:rPr>
        <w:t xml:space="preserve">The </w:t>
      </w:r>
      <w:proofErr w:type="gramStart"/>
      <w:r>
        <w:rPr>
          <w:b/>
          <w:szCs w:val="20"/>
          <w:lang w:val="en-US"/>
        </w:rPr>
        <w:t>‘</w:t>
      </w:r>
      <w:proofErr w:type="spellStart"/>
      <w:r w:rsidRPr="00E539BA">
        <w:rPr>
          <w:b/>
          <w:szCs w:val="20"/>
          <w:lang w:val="en-US"/>
        </w:rPr>
        <w:t>FisheriesImpactTool</w:t>
      </w:r>
      <w:proofErr w:type="spellEnd"/>
      <w:r>
        <w:rPr>
          <w:b/>
          <w:szCs w:val="20"/>
          <w:lang w:val="en-US"/>
        </w:rPr>
        <w:t>’</w:t>
      </w:r>
      <w:r w:rsidRPr="00EA1C7D">
        <w:rPr>
          <w:b/>
          <w:szCs w:val="20"/>
          <w:lang w:val="en-US"/>
        </w:rPr>
        <w:t xml:space="preserve"> </w:t>
      </w:r>
      <w:r>
        <w:rPr>
          <w:b/>
          <w:szCs w:val="20"/>
          <w:lang w:val="en-US"/>
        </w:rPr>
        <w:t xml:space="preserve"> (</w:t>
      </w:r>
      <w:proofErr w:type="gramEnd"/>
      <w:r>
        <w:rPr>
          <w:b/>
          <w:szCs w:val="20"/>
          <w:lang w:val="en-US"/>
        </w:rPr>
        <w:t xml:space="preserve">FIT) </w:t>
      </w:r>
      <w:r w:rsidRPr="00EA1C7D">
        <w:rPr>
          <w:b/>
          <w:szCs w:val="20"/>
          <w:lang w:val="en-US"/>
        </w:rPr>
        <w:t>Software</w:t>
      </w:r>
    </w:p>
    <w:p w:rsidR="00E30BAE" w:rsidRPr="00EA1C7D" w:rsidRDefault="00E30BAE" w:rsidP="00E30BAE">
      <w:pPr>
        <w:contextualSpacing/>
        <w:rPr>
          <w:szCs w:val="20"/>
          <w:lang w:val="en-US"/>
        </w:rPr>
      </w:pPr>
    </w:p>
    <w:p w:rsidR="00E30BAE" w:rsidRDefault="00E30BAE" w:rsidP="00E30BAE">
      <w:pPr>
        <w:rPr>
          <w:szCs w:val="20"/>
          <w:lang w:val="en-US"/>
        </w:rPr>
      </w:pPr>
      <w:proofErr w:type="spellStart"/>
      <w:r>
        <w:rPr>
          <w:szCs w:val="20"/>
          <w:lang w:val="en-US"/>
        </w:rPr>
        <w:t>FisheriesImpactTool</w:t>
      </w:r>
      <w:proofErr w:type="spellEnd"/>
      <w:r>
        <w:rPr>
          <w:szCs w:val="20"/>
          <w:lang w:val="en-US"/>
        </w:rPr>
        <w:t xml:space="preserve"> is the</w:t>
      </w:r>
      <w:r w:rsidRPr="00DA2533">
        <w:rPr>
          <w:szCs w:val="20"/>
          <w:lang w:val="en-US"/>
        </w:rPr>
        <w:t xml:space="preserve"> tool </w:t>
      </w:r>
      <w:r>
        <w:rPr>
          <w:szCs w:val="20"/>
          <w:lang w:val="en-US"/>
        </w:rPr>
        <w:t xml:space="preserve">delivering this assessment and has been developed by the WP3.2 BalticBOOST project based on the experience acquired during EU-FP7 BENTHIS and ICES Working Group on Spatial Fisheries Data (WGSFD 2015). FIT answers </w:t>
      </w:r>
      <w:r w:rsidRPr="004A0258">
        <w:rPr>
          <w:szCs w:val="20"/>
          <w:lang w:val="en-US"/>
        </w:rPr>
        <w:t>requests about the need for guidance on how pressure maps of fishing intensity contribute to an assessment of the state of seabed habitats</w:t>
      </w:r>
      <w:r>
        <w:rPr>
          <w:szCs w:val="20"/>
          <w:lang w:val="en-US"/>
        </w:rPr>
        <w:t xml:space="preserve">. FIT is first used </w:t>
      </w:r>
      <w:r w:rsidRPr="00DA2533">
        <w:rPr>
          <w:szCs w:val="20"/>
          <w:lang w:val="en-US"/>
        </w:rPr>
        <w:t xml:space="preserve">for </w:t>
      </w:r>
      <w:r>
        <w:rPr>
          <w:szCs w:val="20"/>
          <w:lang w:val="en-US"/>
        </w:rPr>
        <w:t>mapping the</w:t>
      </w:r>
      <w:r w:rsidRPr="0094160E">
        <w:rPr>
          <w:szCs w:val="20"/>
          <w:lang w:val="en-US"/>
        </w:rPr>
        <w:t xml:space="preserve"> fishing </w:t>
      </w:r>
      <w:r>
        <w:rPr>
          <w:szCs w:val="20"/>
          <w:lang w:val="en-US"/>
        </w:rPr>
        <w:t xml:space="preserve">surface and subsurface </w:t>
      </w:r>
      <w:r w:rsidRPr="0094160E">
        <w:rPr>
          <w:szCs w:val="20"/>
          <w:lang w:val="en-US"/>
        </w:rPr>
        <w:t>pressure</w:t>
      </w:r>
      <w:r>
        <w:rPr>
          <w:szCs w:val="20"/>
          <w:lang w:val="en-US"/>
        </w:rPr>
        <w:t xml:space="preserve"> on both the habitats and the fish communities. The ‘BENTHIS longevity approach’ is further deployed by FIT to relate, in a mechanistic quantitative approach, the pressure to meaningful biological response and ecological impact indicators as described during the joint ICES WKFBI workshop (ICES, 2016)/BalticBOOST Workshop held in Copenhagen in late June 2016. In this approach, the longevity is the habitat-specific key species attribute (biological trait) used as a proxy for defining the sensitivity of the habitats and benthic communities under pressure. Information on longevity produces the index of seabed impact (SBI)</w:t>
      </w:r>
      <w:r w:rsidRPr="001C2D4D">
        <w:rPr>
          <w:szCs w:val="20"/>
          <w:lang w:val="en-US"/>
        </w:rPr>
        <w:t xml:space="preserve"> </w:t>
      </w:r>
      <w:r>
        <w:rPr>
          <w:szCs w:val="20"/>
          <w:lang w:val="en-US"/>
        </w:rPr>
        <w:t>when crossed with the information on the fishing pressure (</w:t>
      </w:r>
      <w:r w:rsidRPr="00EA1C7D">
        <w:rPr>
          <w:rFonts w:cstheme="minorHAnsi"/>
          <w:noProof/>
          <w:szCs w:val="20"/>
          <w:lang w:val="en-GB"/>
        </w:rPr>
        <w:t>Rijnsdorp</w:t>
      </w:r>
      <w:r>
        <w:rPr>
          <w:rFonts w:cstheme="minorHAnsi"/>
          <w:noProof/>
          <w:szCs w:val="20"/>
          <w:lang w:val="en-GB"/>
        </w:rPr>
        <w:t xml:space="preserve"> </w:t>
      </w:r>
      <w:r w:rsidRPr="00060671">
        <w:rPr>
          <w:rFonts w:cstheme="minorHAnsi"/>
          <w:i/>
          <w:noProof/>
          <w:szCs w:val="20"/>
          <w:lang w:val="en-GB"/>
        </w:rPr>
        <w:t>et al.</w:t>
      </w:r>
      <w:r>
        <w:rPr>
          <w:rFonts w:cstheme="minorHAnsi"/>
          <w:noProof/>
          <w:szCs w:val="20"/>
          <w:lang w:val="en-GB"/>
        </w:rPr>
        <w:t xml:space="preserve"> 2016</w:t>
      </w:r>
      <w:r>
        <w:rPr>
          <w:szCs w:val="20"/>
          <w:lang w:val="en-US"/>
        </w:rPr>
        <w:t xml:space="preserve">).  </w:t>
      </w:r>
    </w:p>
    <w:p w:rsidR="00E30BAE" w:rsidRDefault="00E30BAE" w:rsidP="00E30BAE">
      <w:pPr>
        <w:rPr>
          <w:szCs w:val="20"/>
          <w:lang w:val="en-US"/>
        </w:rPr>
      </w:pPr>
      <w:r w:rsidRPr="0094160E">
        <w:rPr>
          <w:szCs w:val="20"/>
          <w:lang w:val="en-US"/>
        </w:rPr>
        <w:t>The tool workflow (see diagram</w:t>
      </w:r>
      <w:r>
        <w:rPr>
          <w:szCs w:val="20"/>
          <w:lang w:val="en-US"/>
        </w:rPr>
        <w:t>, Figure 8</w:t>
      </w:r>
      <w:r w:rsidRPr="0094160E">
        <w:rPr>
          <w:szCs w:val="20"/>
          <w:lang w:val="en-US"/>
        </w:rPr>
        <w:t xml:space="preserve">) is designed to answer the question about how much pressure </w:t>
      </w:r>
      <w:r>
        <w:rPr>
          <w:szCs w:val="20"/>
          <w:lang w:val="en-US"/>
        </w:rPr>
        <w:t xml:space="preserve">of </w:t>
      </w:r>
      <w:r w:rsidRPr="0094160E">
        <w:rPr>
          <w:szCs w:val="20"/>
          <w:lang w:val="en-US"/>
        </w:rPr>
        <w:t xml:space="preserve">fishing </w:t>
      </w:r>
      <w:r>
        <w:rPr>
          <w:szCs w:val="20"/>
          <w:lang w:val="en-US"/>
        </w:rPr>
        <w:t xml:space="preserve">with mobile bottom-contacting gears </w:t>
      </w:r>
      <w:r w:rsidRPr="0094160E">
        <w:rPr>
          <w:szCs w:val="20"/>
          <w:lang w:val="en-US"/>
        </w:rPr>
        <w:t>affects the benthic habitats and communities (MSFD Descriptor 6) and the commercially-important fish and shellfish exploited in the area (in line with MSFD Descriptor 3) by quantifying the spatial distribution of the fishing pressure</w:t>
      </w:r>
      <w:r>
        <w:rPr>
          <w:szCs w:val="20"/>
          <w:lang w:val="en-US"/>
        </w:rPr>
        <w:t xml:space="preserve"> </w:t>
      </w:r>
      <w:r w:rsidRPr="0094160E">
        <w:rPr>
          <w:szCs w:val="20"/>
          <w:lang w:val="en-US"/>
        </w:rPr>
        <w:t>and removals of fish from the fisheries.</w:t>
      </w:r>
      <w:r>
        <w:rPr>
          <w:szCs w:val="20"/>
          <w:lang w:val="en-US"/>
        </w:rPr>
        <w:t xml:space="preserve"> </w:t>
      </w:r>
      <w:r w:rsidRPr="0094160E">
        <w:rPr>
          <w:szCs w:val="20"/>
          <w:lang w:val="en-US"/>
        </w:rPr>
        <w:t>The tool i</w:t>
      </w:r>
      <w:r>
        <w:rPr>
          <w:szCs w:val="20"/>
          <w:lang w:val="en-US"/>
        </w:rPr>
        <w:t>tself is a set of R routines hosted by a</w:t>
      </w:r>
      <w:r w:rsidRPr="0094160E">
        <w:rPr>
          <w:szCs w:val="20"/>
          <w:lang w:val="en-US"/>
        </w:rPr>
        <w:t xml:space="preserve"> specific </w:t>
      </w:r>
      <w:proofErr w:type="spellStart"/>
      <w:r w:rsidRPr="0094160E">
        <w:rPr>
          <w:szCs w:val="20"/>
          <w:lang w:val="en-US"/>
        </w:rPr>
        <w:t>github</w:t>
      </w:r>
      <w:proofErr w:type="spellEnd"/>
      <w:r w:rsidRPr="0094160E">
        <w:rPr>
          <w:szCs w:val="20"/>
          <w:lang w:val="en-US"/>
        </w:rPr>
        <w:t xml:space="preserve"> repository online</w:t>
      </w:r>
      <w:r>
        <w:rPr>
          <w:szCs w:val="20"/>
          <w:lang w:val="en-US"/>
        </w:rPr>
        <w:t xml:space="preserve"> (</w:t>
      </w:r>
      <w:hyperlink r:id="rId14" w:history="1">
        <w:r w:rsidRPr="008B0D01">
          <w:rPr>
            <w:rStyle w:val="Hyperlink"/>
            <w:szCs w:val="20"/>
            <w:lang w:val="en-US"/>
          </w:rPr>
          <w:t>https://github.com/frabas/FisheriesImpactTool</w:t>
        </w:r>
      </w:hyperlink>
      <w:r>
        <w:rPr>
          <w:szCs w:val="20"/>
          <w:lang w:val="en-US"/>
        </w:rPr>
        <w:t>)</w:t>
      </w:r>
      <w:r w:rsidRPr="0094160E">
        <w:rPr>
          <w:szCs w:val="20"/>
          <w:lang w:val="en-US"/>
        </w:rPr>
        <w:t xml:space="preserve">, and which further offers a way to </w:t>
      </w:r>
      <w:r>
        <w:rPr>
          <w:szCs w:val="20"/>
          <w:lang w:val="en-US"/>
        </w:rPr>
        <w:t>track</w:t>
      </w:r>
      <w:r w:rsidRPr="0094160E">
        <w:rPr>
          <w:szCs w:val="20"/>
          <w:lang w:val="en-US"/>
        </w:rPr>
        <w:t xml:space="preserve"> the versions of the tool when amended (the </w:t>
      </w:r>
      <w:proofErr w:type="spellStart"/>
      <w:r w:rsidRPr="0094160E">
        <w:rPr>
          <w:szCs w:val="20"/>
          <w:lang w:val="en-US"/>
        </w:rPr>
        <w:t>github</w:t>
      </w:r>
      <w:proofErr w:type="spellEnd"/>
      <w:r w:rsidRPr="0094160E">
        <w:rPr>
          <w:szCs w:val="20"/>
          <w:lang w:val="en-US"/>
        </w:rPr>
        <w:t xml:space="preserve"> platform is an online service for versioning control system).</w:t>
      </w:r>
    </w:p>
    <w:p w:rsidR="00E30BAE" w:rsidRPr="00EA1C7D" w:rsidRDefault="00E30BAE" w:rsidP="00E30BAE">
      <w:pPr>
        <w:contextualSpacing/>
        <w:rPr>
          <w:szCs w:val="20"/>
          <w:lang w:val="en-US"/>
        </w:rPr>
      </w:pPr>
    </w:p>
    <w:p w:rsidR="00E30BAE" w:rsidRPr="00EA1C7D" w:rsidRDefault="00E30BAE" w:rsidP="00E30BAE">
      <w:pPr>
        <w:spacing w:line="360" w:lineRule="auto"/>
        <w:contextualSpacing/>
        <w:rPr>
          <w:szCs w:val="20"/>
          <w:lang w:val="en-US"/>
        </w:rPr>
      </w:pPr>
    </w:p>
    <w:p w:rsidR="00E30BAE" w:rsidRPr="00EA1C7D" w:rsidRDefault="00E30BAE" w:rsidP="00E30BAE">
      <w:pPr>
        <w:contextualSpacing/>
        <w:rPr>
          <w:szCs w:val="20"/>
          <w:lang w:val="en-US"/>
        </w:rPr>
      </w:pPr>
      <w:r w:rsidRPr="00EA1C7D">
        <w:rPr>
          <w:noProof/>
          <w:szCs w:val="20"/>
          <w:lang w:eastAsia="fi-FI"/>
        </w:rPr>
        <w:lastRenderedPageBreak/>
        <w:drawing>
          <wp:inline distT="0" distB="0" distL="0" distR="0" wp14:anchorId="7D97FB4C" wp14:editId="4A909775">
            <wp:extent cx="5943600" cy="4849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a:extLst/>
                  </pic:spPr>
                </pic:pic>
              </a:graphicData>
            </a:graphic>
          </wp:inline>
        </w:drawing>
      </w:r>
    </w:p>
    <w:p w:rsidR="00E30BAE" w:rsidRPr="00EA1C7D" w:rsidRDefault="00E30BAE" w:rsidP="00E30BAE">
      <w:pPr>
        <w:contextualSpacing/>
        <w:rPr>
          <w:szCs w:val="20"/>
          <w:lang w:val="en-US"/>
        </w:rPr>
      </w:pPr>
      <w:r w:rsidRPr="00EA1C7D">
        <w:rPr>
          <w:rFonts w:ascii="Times New Roman" w:hAnsi="Times New Roman" w:cs="Times New Roman"/>
          <w:b/>
          <w:i/>
          <w:szCs w:val="20"/>
          <w:lang w:val="en-US"/>
        </w:rPr>
        <w:t xml:space="preserve">Figure </w:t>
      </w:r>
      <w:r>
        <w:rPr>
          <w:rFonts w:ascii="Times New Roman" w:hAnsi="Times New Roman" w:cs="Times New Roman"/>
          <w:b/>
          <w:i/>
          <w:szCs w:val="20"/>
          <w:lang w:val="en-US"/>
        </w:rPr>
        <w:t>8</w:t>
      </w:r>
      <w:r w:rsidRPr="00EA1C7D">
        <w:rPr>
          <w:rFonts w:ascii="Times New Roman" w:hAnsi="Times New Roman" w:cs="Times New Roman"/>
          <w:i/>
          <w:szCs w:val="20"/>
          <w:lang w:val="en-US"/>
        </w:rPr>
        <w:t xml:space="preserve">. </w:t>
      </w:r>
      <w:r>
        <w:rPr>
          <w:rFonts w:ascii="Times New Roman" w:hAnsi="Times New Roman" w:cs="Times New Roman"/>
          <w:i/>
          <w:szCs w:val="20"/>
          <w:lang w:val="en-US"/>
        </w:rPr>
        <w:t>Conceptual d</w:t>
      </w:r>
      <w:r w:rsidRPr="00EA1C7D">
        <w:rPr>
          <w:rFonts w:ascii="Times New Roman" w:hAnsi="Times New Roman" w:cs="Times New Roman"/>
          <w:i/>
          <w:szCs w:val="20"/>
          <w:lang w:val="en-US"/>
        </w:rPr>
        <w:t xml:space="preserve">iagram of the </w:t>
      </w:r>
      <w:r>
        <w:rPr>
          <w:rFonts w:ascii="Times New Roman" w:hAnsi="Times New Roman" w:cs="Times New Roman"/>
          <w:i/>
          <w:szCs w:val="20"/>
          <w:lang w:val="en-US"/>
        </w:rPr>
        <w:t>Fisheries Impact T</w:t>
      </w:r>
      <w:r w:rsidRPr="00EA1C7D">
        <w:rPr>
          <w:rFonts w:ascii="Times New Roman" w:hAnsi="Times New Roman" w:cs="Times New Roman"/>
          <w:i/>
          <w:szCs w:val="20"/>
          <w:lang w:val="en-US"/>
        </w:rPr>
        <w:t xml:space="preserve">ool hosted at </w:t>
      </w:r>
      <w:r>
        <w:fldChar w:fldCharType="begin"/>
      </w:r>
      <w:r w:rsidRPr="00E30BAE">
        <w:rPr>
          <w:lang w:val="en-US"/>
        </w:rPr>
        <w:instrText xml:space="preserve"> HYPERLINK "https://github.com/frabas/FisheriesImpactTool" </w:instrText>
      </w:r>
      <w:r>
        <w:fldChar w:fldCharType="separate"/>
      </w:r>
      <w:r w:rsidRPr="008B0D01">
        <w:rPr>
          <w:rStyle w:val="Hyperlink"/>
          <w:szCs w:val="20"/>
          <w:lang w:val="en-US"/>
        </w:rPr>
        <w:t>https://github.com/frabas/FisheriesImpactTool</w:t>
      </w:r>
      <w:r>
        <w:rPr>
          <w:rStyle w:val="Hyperlink"/>
          <w:szCs w:val="20"/>
          <w:lang w:val="en-US"/>
        </w:rPr>
        <w:fldChar w:fldCharType="end"/>
      </w:r>
      <w:bookmarkStart w:id="0" w:name="_GoBack"/>
      <w:bookmarkEnd w:id="0"/>
    </w:p>
    <w:p w:rsidR="00E30BAE" w:rsidRPr="00EA1C7D" w:rsidRDefault="00E30BAE" w:rsidP="00E30BAE">
      <w:pPr>
        <w:contextualSpacing/>
        <w:rPr>
          <w:b/>
          <w:szCs w:val="20"/>
          <w:lang w:val="en-US"/>
        </w:rPr>
      </w:pPr>
    </w:p>
    <w:p w:rsidR="00E30BAE" w:rsidRPr="00EA1C7D" w:rsidRDefault="00E30BAE" w:rsidP="00E30BAE">
      <w:pPr>
        <w:contextualSpacing/>
        <w:rPr>
          <w:b/>
          <w:szCs w:val="20"/>
          <w:lang w:val="en-US"/>
        </w:rPr>
      </w:pPr>
    </w:p>
    <w:p w:rsidR="00E30BAE" w:rsidRPr="00EA1C7D" w:rsidRDefault="00E30BAE" w:rsidP="00E30BAE">
      <w:pPr>
        <w:contextualSpacing/>
        <w:rPr>
          <w:b/>
          <w:szCs w:val="20"/>
          <w:lang w:val="en-US"/>
        </w:rPr>
      </w:pPr>
    </w:p>
    <w:p w:rsidR="00E30BAE" w:rsidRPr="00EA1C7D" w:rsidRDefault="00E30BAE" w:rsidP="00E30BAE">
      <w:pPr>
        <w:contextualSpacing/>
        <w:rPr>
          <w:b/>
          <w:szCs w:val="20"/>
          <w:lang w:val="en-US"/>
        </w:rPr>
      </w:pPr>
    </w:p>
    <w:p w:rsidR="00E30BAE" w:rsidRPr="00EA1C7D" w:rsidRDefault="00E30BAE" w:rsidP="00E30BAE">
      <w:pPr>
        <w:contextualSpacing/>
        <w:rPr>
          <w:b/>
          <w:szCs w:val="20"/>
          <w:lang w:val="en-US"/>
        </w:rPr>
      </w:pPr>
    </w:p>
    <w:p w:rsidR="00E30BAE" w:rsidRPr="000D25D6" w:rsidRDefault="00E30BAE" w:rsidP="00E30BAE">
      <w:pPr>
        <w:contextualSpacing/>
        <w:rPr>
          <w:b/>
          <w:szCs w:val="20"/>
          <w:lang w:val="de-DE"/>
        </w:rPr>
      </w:pPr>
      <w:r w:rsidRPr="000D25D6">
        <w:rPr>
          <w:b/>
          <w:szCs w:val="20"/>
          <w:lang w:val="de-DE"/>
        </w:rPr>
        <w:t>References</w:t>
      </w:r>
    </w:p>
    <w:p w:rsidR="00E30BAE" w:rsidRPr="000D25D6" w:rsidRDefault="00E30BAE" w:rsidP="00E30BAE">
      <w:pPr>
        <w:spacing w:before="100" w:beforeAutospacing="1" w:line="360" w:lineRule="auto"/>
        <w:ind w:left="720" w:hanging="720"/>
        <w:contextualSpacing/>
        <w:rPr>
          <w:rFonts w:cstheme="minorHAnsi"/>
          <w:noProof/>
          <w:szCs w:val="20"/>
          <w:lang w:val="de-DE"/>
        </w:rPr>
      </w:pPr>
    </w:p>
    <w:p w:rsidR="00E30BAE" w:rsidRPr="000D25D6" w:rsidRDefault="00E30BAE" w:rsidP="00E30BAE">
      <w:pPr>
        <w:spacing w:before="100" w:beforeAutospacing="1" w:line="360" w:lineRule="auto"/>
        <w:ind w:left="720" w:hanging="720"/>
        <w:contextualSpacing/>
        <w:rPr>
          <w:rFonts w:cstheme="minorHAnsi"/>
          <w:noProof/>
          <w:szCs w:val="20"/>
          <w:lang w:val="de-DE"/>
        </w:rPr>
      </w:pPr>
      <w:r w:rsidRPr="000D25D6">
        <w:rPr>
          <w:rFonts w:cstheme="minorHAnsi"/>
          <w:noProof/>
          <w:szCs w:val="20"/>
          <w:lang w:val="de-DE"/>
        </w:rPr>
        <w:t xml:space="preserve">Bastardie, F., Nielsen, J. R., Ulrich, C., Egekvist, J., and Degel, H. 2010. </w:t>
      </w:r>
      <w:r w:rsidRPr="00EA1C7D">
        <w:rPr>
          <w:rFonts w:cstheme="minorHAnsi"/>
          <w:noProof/>
          <w:szCs w:val="20"/>
          <w:lang w:val="en-US"/>
        </w:rPr>
        <w:t xml:space="preserve">Detailed mapping of fishing effort and landings by coupling fishing logbooks with satellite-recorded vessel geo-location. </w:t>
      </w:r>
      <w:r w:rsidRPr="000D25D6">
        <w:rPr>
          <w:rFonts w:cstheme="minorHAnsi"/>
          <w:noProof/>
          <w:szCs w:val="20"/>
          <w:lang w:val="de-DE"/>
        </w:rPr>
        <w:t>Fisheries Research, 106: 41–53</w:t>
      </w:r>
    </w:p>
    <w:p w:rsidR="00E30BAE" w:rsidRPr="00EA1C7D" w:rsidRDefault="00E30BAE" w:rsidP="00E30BAE">
      <w:pPr>
        <w:spacing w:before="100" w:beforeAutospacing="1" w:line="360" w:lineRule="auto"/>
        <w:ind w:left="720" w:hanging="720"/>
        <w:contextualSpacing/>
        <w:rPr>
          <w:rFonts w:cstheme="minorHAnsi"/>
          <w:noProof/>
          <w:szCs w:val="20"/>
          <w:lang w:val="en-US"/>
        </w:rPr>
      </w:pPr>
      <w:r w:rsidRPr="000D25D6">
        <w:rPr>
          <w:rFonts w:cstheme="minorHAnsi"/>
          <w:noProof/>
          <w:szCs w:val="20"/>
          <w:lang w:val="de-DE"/>
        </w:rPr>
        <w:t xml:space="preserve">Bastardie, F., Nielsen, J.R., Eero, M., Fuga, F. Rindorf, A. 2016. </w:t>
      </w:r>
      <w:r w:rsidRPr="00EA1C7D">
        <w:rPr>
          <w:rFonts w:cstheme="minorHAnsi"/>
          <w:noProof/>
          <w:szCs w:val="20"/>
          <w:lang w:val="en-US"/>
        </w:rPr>
        <w:t>Effects of changes in stock productivity and mixing on sustainable fishing and economic viability. ICES Journal of Marine Science, in press, 10.1093/icesjms/fsw083</w:t>
      </w:r>
    </w:p>
    <w:p w:rsidR="00E30BAE" w:rsidRPr="00EA1C7D" w:rsidRDefault="00E30BAE" w:rsidP="00E30BAE">
      <w:pPr>
        <w:spacing w:before="100" w:beforeAutospacing="1" w:line="360" w:lineRule="auto"/>
        <w:ind w:left="720" w:hanging="720"/>
        <w:contextualSpacing/>
        <w:rPr>
          <w:rFonts w:cstheme="minorHAnsi"/>
          <w:szCs w:val="20"/>
          <w:lang w:val="en-US"/>
        </w:rPr>
      </w:pPr>
    </w:p>
    <w:p w:rsidR="00E30BAE" w:rsidRPr="00EA1C7D" w:rsidRDefault="00E30BAE" w:rsidP="00E30BAE">
      <w:pPr>
        <w:spacing w:before="100" w:beforeAutospacing="1" w:line="360" w:lineRule="auto"/>
        <w:ind w:left="720" w:hanging="720"/>
        <w:contextualSpacing/>
        <w:rPr>
          <w:rFonts w:cstheme="minorHAnsi"/>
          <w:szCs w:val="20"/>
          <w:lang w:val="en-US"/>
        </w:rPr>
      </w:pPr>
      <w:r w:rsidRPr="00EA1C7D">
        <w:rPr>
          <w:rFonts w:cstheme="minorHAnsi"/>
          <w:szCs w:val="20"/>
          <w:lang w:val="en-US"/>
        </w:rPr>
        <w:lastRenderedPageBreak/>
        <w:t xml:space="preserve">Clark, M., </w:t>
      </w:r>
      <w:proofErr w:type="spellStart"/>
      <w:r w:rsidRPr="00EA1C7D">
        <w:rPr>
          <w:rFonts w:cstheme="minorHAnsi"/>
          <w:szCs w:val="20"/>
          <w:lang w:val="en-US"/>
        </w:rPr>
        <w:t>Althaus</w:t>
      </w:r>
      <w:proofErr w:type="spellEnd"/>
      <w:r w:rsidRPr="00EA1C7D">
        <w:rPr>
          <w:rFonts w:cstheme="minorHAnsi"/>
          <w:szCs w:val="20"/>
          <w:lang w:val="en-US"/>
        </w:rPr>
        <w:t xml:space="preserve">, F., </w:t>
      </w:r>
      <w:proofErr w:type="spellStart"/>
      <w:r w:rsidRPr="00EA1C7D">
        <w:rPr>
          <w:rFonts w:cstheme="minorHAnsi"/>
          <w:szCs w:val="20"/>
          <w:lang w:val="en-US"/>
        </w:rPr>
        <w:t>Schlacher</w:t>
      </w:r>
      <w:proofErr w:type="spellEnd"/>
      <w:r w:rsidRPr="00EA1C7D">
        <w:rPr>
          <w:rFonts w:cstheme="minorHAnsi"/>
          <w:szCs w:val="20"/>
          <w:lang w:val="en-US"/>
        </w:rPr>
        <w:t>, T., Williams, A., Bowden, D., and Rowden, A. 2016. The impacts of deep-sea fisheries on benthic communities: a review. ICES Journal of Marine Science, 73(Suppl. 1): i51–i69.</w:t>
      </w:r>
    </w:p>
    <w:p w:rsidR="00E30BAE" w:rsidRPr="00EA1C7D" w:rsidRDefault="00E30BAE" w:rsidP="00E30BAE">
      <w:pPr>
        <w:spacing w:before="100" w:beforeAutospacing="1" w:line="360" w:lineRule="auto"/>
        <w:ind w:left="720" w:hanging="720"/>
        <w:contextualSpacing/>
        <w:rPr>
          <w:rFonts w:cstheme="minorHAnsi"/>
          <w:szCs w:val="20"/>
          <w:lang w:val="en-US"/>
        </w:rPr>
      </w:pPr>
    </w:p>
    <w:p w:rsidR="00E30BAE" w:rsidRPr="00EA1C7D" w:rsidRDefault="00E30BAE" w:rsidP="00E30BAE">
      <w:pPr>
        <w:spacing w:before="100" w:beforeAutospacing="1" w:line="360" w:lineRule="auto"/>
        <w:ind w:left="720" w:hanging="720"/>
        <w:contextualSpacing/>
        <w:rPr>
          <w:rFonts w:cstheme="minorHAnsi"/>
          <w:szCs w:val="20"/>
          <w:lang w:val="en-US"/>
        </w:rPr>
      </w:pPr>
      <w:r w:rsidRPr="00EA1C7D">
        <w:rPr>
          <w:rFonts w:cstheme="minorHAnsi"/>
          <w:szCs w:val="20"/>
          <w:lang w:val="en-US"/>
        </w:rPr>
        <w:t xml:space="preserve">Dayton, P. K., Thrush, S. F., </w:t>
      </w:r>
      <w:proofErr w:type="spellStart"/>
      <w:r w:rsidRPr="00EA1C7D">
        <w:rPr>
          <w:rFonts w:cstheme="minorHAnsi"/>
          <w:szCs w:val="20"/>
          <w:lang w:val="en-US"/>
        </w:rPr>
        <w:t>Agardy</w:t>
      </w:r>
      <w:proofErr w:type="spellEnd"/>
      <w:r w:rsidRPr="00EA1C7D">
        <w:rPr>
          <w:rFonts w:cstheme="minorHAnsi"/>
          <w:szCs w:val="20"/>
          <w:lang w:val="en-US"/>
        </w:rPr>
        <w:t xml:space="preserve">, M. T., and </w:t>
      </w:r>
      <w:proofErr w:type="spellStart"/>
      <w:r w:rsidRPr="00EA1C7D">
        <w:rPr>
          <w:rFonts w:cstheme="minorHAnsi"/>
          <w:szCs w:val="20"/>
          <w:lang w:val="en-US"/>
        </w:rPr>
        <w:t>Hofman</w:t>
      </w:r>
      <w:proofErr w:type="spellEnd"/>
      <w:r w:rsidRPr="00EA1C7D">
        <w:rPr>
          <w:rFonts w:cstheme="minorHAnsi"/>
          <w:szCs w:val="20"/>
          <w:lang w:val="en-US"/>
        </w:rPr>
        <w:t>, R. J. 1995. Environmental-Effects of Marine Fishing. Aquatic Conservation-Marine and Freshwater Ecosystems, 5: 205–232.</w:t>
      </w:r>
    </w:p>
    <w:p w:rsidR="00E30BAE" w:rsidRPr="00EA1C7D" w:rsidRDefault="00E30BAE" w:rsidP="00E30BAE">
      <w:pPr>
        <w:spacing w:before="100" w:beforeAutospacing="1" w:line="360" w:lineRule="auto"/>
        <w:ind w:left="720" w:hanging="720"/>
        <w:contextualSpacing/>
        <w:rPr>
          <w:rFonts w:cstheme="minorHAnsi"/>
          <w:szCs w:val="20"/>
          <w:lang w:val="en-US"/>
        </w:rPr>
      </w:pPr>
    </w:p>
    <w:p w:rsidR="00E30BAE" w:rsidRPr="00EA1C7D" w:rsidRDefault="00E30BAE" w:rsidP="00E30BAE">
      <w:pPr>
        <w:spacing w:before="100" w:beforeAutospacing="1" w:line="360" w:lineRule="auto"/>
        <w:ind w:left="720" w:hanging="720"/>
        <w:contextualSpacing/>
        <w:rPr>
          <w:rFonts w:cstheme="minorHAnsi"/>
          <w:szCs w:val="20"/>
          <w:lang w:val="en-US"/>
        </w:rPr>
      </w:pPr>
      <w:r w:rsidRPr="00EA1C7D">
        <w:rPr>
          <w:rFonts w:cstheme="minorHAnsi"/>
          <w:szCs w:val="20"/>
          <w:lang w:val="en-US"/>
        </w:rPr>
        <w:t xml:space="preserve">Eigaard, O. R., </w:t>
      </w:r>
      <w:proofErr w:type="spellStart"/>
      <w:r w:rsidRPr="00EA1C7D">
        <w:rPr>
          <w:rFonts w:cstheme="minorHAnsi"/>
          <w:szCs w:val="20"/>
          <w:lang w:val="en-US"/>
        </w:rPr>
        <w:t>Marchal</w:t>
      </w:r>
      <w:proofErr w:type="spellEnd"/>
      <w:r w:rsidRPr="00EA1C7D">
        <w:rPr>
          <w:rFonts w:cstheme="minorHAnsi"/>
          <w:szCs w:val="20"/>
          <w:lang w:val="en-US"/>
        </w:rPr>
        <w:t xml:space="preserve">, P., </w:t>
      </w:r>
      <w:proofErr w:type="spellStart"/>
      <w:r w:rsidRPr="00EA1C7D">
        <w:rPr>
          <w:rFonts w:cstheme="minorHAnsi"/>
          <w:szCs w:val="20"/>
          <w:lang w:val="en-US"/>
        </w:rPr>
        <w:t>Gislason</w:t>
      </w:r>
      <w:proofErr w:type="spellEnd"/>
      <w:r w:rsidRPr="00EA1C7D">
        <w:rPr>
          <w:rFonts w:cstheme="minorHAnsi"/>
          <w:szCs w:val="20"/>
          <w:lang w:val="en-US"/>
        </w:rPr>
        <w:t>, H., and Rijnsdorp, A. D. 2014. Technological Development and Fisheries Management. Reviews in Fisheries Science &amp; Aquaculture, 22: 156–174.</w:t>
      </w:r>
    </w:p>
    <w:p w:rsidR="00E30BAE" w:rsidRPr="00EA1C7D" w:rsidRDefault="00E30BAE" w:rsidP="00E30BAE">
      <w:pPr>
        <w:spacing w:before="100" w:beforeAutospacing="1" w:after="120" w:line="360" w:lineRule="auto"/>
        <w:ind w:left="720" w:hanging="720"/>
        <w:contextualSpacing/>
        <w:rPr>
          <w:rFonts w:cstheme="minorHAnsi"/>
          <w:noProof/>
          <w:szCs w:val="20"/>
          <w:lang w:val="nl-NL"/>
        </w:rPr>
      </w:pPr>
    </w:p>
    <w:p w:rsidR="00E30BAE" w:rsidRPr="00EA1C7D" w:rsidRDefault="00E30BAE" w:rsidP="00E30BAE">
      <w:pPr>
        <w:spacing w:before="100" w:beforeAutospacing="1" w:after="120" w:line="360" w:lineRule="auto"/>
        <w:ind w:left="720" w:hanging="720"/>
        <w:contextualSpacing/>
        <w:rPr>
          <w:rFonts w:cstheme="minorHAnsi"/>
          <w:noProof/>
          <w:szCs w:val="20"/>
          <w:lang w:val="en-GB"/>
        </w:rPr>
      </w:pPr>
      <w:r w:rsidRPr="00EA1C7D">
        <w:rPr>
          <w:rFonts w:cstheme="minorHAnsi"/>
          <w:noProof/>
          <w:szCs w:val="20"/>
          <w:lang w:val="nl-NL"/>
        </w:rPr>
        <w:t xml:space="preserve">Eigaard, O., Bastardie, F., Breen, M., Dinesen, G., Hintzen, N., Laffargue, P., Nielsen, J., </w:t>
      </w:r>
      <w:r w:rsidRPr="00060671">
        <w:rPr>
          <w:rFonts w:cstheme="minorHAnsi"/>
          <w:i/>
          <w:noProof/>
          <w:szCs w:val="20"/>
          <w:lang w:val="nl-NL"/>
        </w:rPr>
        <w:t>et al.</w:t>
      </w:r>
      <w:r w:rsidRPr="00EA1C7D">
        <w:rPr>
          <w:rFonts w:cstheme="minorHAnsi"/>
          <w:noProof/>
          <w:szCs w:val="20"/>
          <w:lang w:val="nl-NL"/>
        </w:rPr>
        <w:t xml:space="preserve"> 2016a. </w:t>
      </w:r>
      <w:r w:rsidRPr="00EA1C7D">
        <w:rPr>
          <w:rFonts w:cstheme="minorHAnsi"/>
          <w:noProof/>
          <w:szCs w:val="20"/>
          <w:lang w:val="en-US"/>
        </w:rPr>
        <w:t>Estimating seabed pressure from demersal trawls, seines, and dredges based on gear design and dimensions. ICES Journal of Marine Science, 73 (Supplement 1): i27–i43. doi:10.1093/icesjms/fsv099</w:t>
      </w:r>
    </w:p>
    <w:p w:rsidR="00E30BAE" w:rsidRPr="00B3773E"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2276C5">
        <w:rPr>
          <w:rFonts w:cstheme="minorHAnsi"/>
          <w:noProof/>
          <w:szCs w:val="20"/>
          <w:lang w:val="da-DK"/>
        </w:rPr>
        <w:t xml:space="preserve">Eigaard O.R., Bastardie F., Hintzen N., Buhl-Mortensen L., Buhl-Mortensen P., Catarino R., Dinesen G.E., </w:t>
      </w:r>
      <w:r w:rsidRPr="002276C5">
        <w:rPr>
          <w:rFonts w:cstheme="minorHAnsi"/>
          <w:i/>
          <w:noProof/>
          <w:szCs w:val="20"/>
          <w:lang w:val="da-DK"/>
        </w:rPr>
        <w:t>et al.</w:t>
      </w:r>
      <w:r w:rsidRPr="002276C5">
        <w:rPr>
          <w:rFonts w:cstheme="minorHAnsi"/>
          <w:noProof/>
          <w:szCs w:val="20"/>
          <w:lang w:val="da-DK"/>
        </w:rPr>
        <w:t xml:space="preserve">, 2016b. </w:t>
      </w:r>
      <w:r w:rsidRPr="00EA1C7D">
        <w:rPr>
          <w:rFonts w:cstheme="minorHAnsi"/>
          <w:noProof/>
          <w:szCs w:val="20"/>
          <w:lang w:val="en-US"/>
        </w:rPr>
        <w:t>Benthic impact of fisheries in European waters: the distribution and intensity of bottom trawling. ICES Journal of Marine Science, in press.</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US"/>
        </w:rPr>
        <w:t>Ellis, N., Pantus, F., and Pitcher, C. R. 2014. Scaling up experimental trawl impact results to fishery management scales — a modelling approach for a “hot time”. Canadian Journal of Fisheries and Aquatic Sciences, 71: 733–746.</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B3773E">
        <w:rPr>
          <w:rFonts w:cstheme="minorHAnsi"/>
          <w:noProof/>
          <w:szCs w:val="20"/>
          <w:lang w:val="en-US"/>
        </w:rPr>
        <w:t xml:space="preserve">Halpern, B. S., Walbridge, S., Selkoe, K. A., Kappel, C. V., Micheli, F., D'Agrosa, C., Bruno, J. F., </w:t>
      </w:r>
      <w:r w:rsidRPr="00060671">
        <w:rPr>
          <w:rFonts w:cstheme="minorHAnsi"/>
          <w:i/>
          <w:noProof/>
          <w:szCs w:val="20"/>
          <w:lang w:val="en-US"/>
        </w:rPr>
        <w:t>et al.</w:t>
      </w:r>
      <w:r w:rsidRPr="00B3773E">
        <w:rPr>
          <w:rFonts w:cstheme="minorHAnsi"/>
          <w:noProof/>
          <w:szCs w:val="20"/>
          <w:lang w:val="en-US"/>
        </w:rPr>
        <w:t xml:space="preserve"> 2008. </w:t>
      </w:r>
      <w:r w:rsidRPr="00EA1C7D">
        <w:rPr>
          <w:rFonts w:cstheme="minorHAnsi"/>
          <w:noProof/>
          <w:szCs w:val="20"/>
          <w:lang w:val="en-US"/>
        </w:rPr>
        <w:t>A global map of human impact on marine ecosystems. Science, 319: 948–952.</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US"/>
        </w:rPr>
        <w:t>Hintzen, N. T., Piet, G. J., and Brunel, T. 2010. Improved estimation of trawling tracks using cubic Hermite spline interpolation of position registration data. Fish.s Research, 101: 108–115.</w:t>
      </w:r>
    </w:p>
    <w:p w:rsidR="00E30BAE" w:rsidRPr="00EA1C7D" w:rsidRDefault="00E30BAE" w:rsidP="00E30BAE">
      <w:pPr>
        <w:spacing w:before="100" w:beforeAutospacing="1" w:after="120" w:line="360" w:lineRule="auto"/>
        <w:ind w:left="720" w:hanging="720"/>
        <w:contextualSpacing/>
        <w:rPr>
          <w:rFonts w:cstheme="minorHAnsi"/>
          <w:szCs w:val="20"/>
          <w:lang w:val="en-US"/>
        </w:rPr>
      </w:pPr>
    </w:p>
    <w:p w:rsidR="00E30BAE" w:rsidRDefault="00E30BAE" w:rsidP="00E30BAE">
      <w:pPr>
        <w:spacing w:before="100" w:beforeAutospacing="1" w:after="120" w:line="360" w:lineRule="auto"/>
        <w:ind w:left="720" w:hanging="720"/>
        <w:contextualSpacing/>
        <w:rPr>
          <w:rFonts w:cstheme="minorHAnsi"/>
          <w:szCs w:val="20"/>
          <w:lang w:val="en-US"/>
        </w:rPr>
      </w:pPr>
      <w:proofErr w:type="spellStart"/>
      <w:r w:rsidRPr="00E50086">
        <w:rPr>
          <w:rFonts w:cstheme="minorHAnsi"/>
          <w:szCs w:val="20"/>
          <w:lang w:val="en-US"/>
        </w:rPr>
        <w:t>Hintzen</w:t>
      </w:r>
      <w:proofErr w:type="spellEnd"/>
      <w:r w:rsidRPr="00E50086">
        <w:rPr>
          <w:rFonts w:cstheme="minorHAnsi"/>
          <w:szCs w:val="20"/>
          <w:lang w:val="en-US"/>
        </w:rPr>
        <w:t xml:space="preserve">, N. T., Bastardie, F., </w:t>
      </w:r>
      <w:proofErr w:type="spellStart"/>
      <w:r w:rsidRPr="00E50086">
        <w:rPr>
          <w:rFonts w:cstheme="minorHAnsi"/>
          <w:szCs w:val="20"/>
          <w:lang w:val="en-US"/>
        </w:rPr>
        <w:t>Beare</w:t>
      </w:r>
      <w:proofErr w:type="spellEnd"/>
      <w:r w:rsidRPr="00E50086">
        <w:rPr>
          <w:rFonts w:cstheme="minorHAnsi"/>
          <w:szCs w:val="20"/>
          <w:lang w:val="en-US"/>
        </w:rPr>
        <w:t xml:space="preserve">, D., Piet, G. J., Ulrich, C., </w:t>
      </w:r>
      <w:proofErr w:type="spellStart"/>
      <w:r w:rsidRPr="00E50086">
        <w:rPr>
          <w:rFonts w:cstheme="minorHAnsi"/>
          <w:szCs w:val="20"/>
          <w:lang w:val="en-US"/>
        </w:rPr>
        <w:t>Deporte</w:t>
      </w:r>
      <w:proofErr w:type="spellEnd"/>
      <w:r w:rsidRPr="00E50086">
        <w:rPr>
          <w:rFonts w:cstheme="minorHAnsi"/>
          <w:szCs w:val="20"/>
          <w:lang w:val="en-US"/>
        </w:rPr>
        <w:t xml:space="preserve">, N., </w:t>
      </w:r>
      <w:proofErr w:type="spellStart"/>
      <w:r w:rsidRPr="00E50086">
        <w:rPr>
          <w:rFonts w:cstheme="minorHAnsi"/>
          <w:szCs w:val="20"/>
          <w:lang w:val="en-US"/>
        </w:rPr>
        <w:t>Egekvist</w:t>
      </w:r>
      <w:proofErr w:type="spellEnd"/>
      <w:r w:rsidRPr="00E50086">
        <w:rPr>
          <w:rFonts w:cstheme="minorHAnsi"/>
          <w:szCs w:val="20"/>
          <w:lang w:val="en-US"/>
        </w:rPr>
        <w:t xml:space="preserve">, J., </w:t>
      </w:r>
      <w:r w:rsidRPr="00E50086">
        <w:rPr>
          <w:rFonts w:cstheme="minorHAnsi"/>
          <w:i/>
          <w:szCs w:val="20"/>
          <w:lang w:val="en-US"/>
        </w:rPr>
        <w:t>et al.</w:t>
      </w:r>
      <w:r w:rsidRPr="00E50086">
        <w:rPr>
          <w:rFonts w:cstheme="minorHAnsi"/>
          <w:szCs w:val="20"/>
          <w:lang w:val="en-US"/>
        </w:rPr>
        <w:t xml:space="preserve"> 2012. </w:t>
      </w:r>
      <w:proofErr w:type="spellStart"/>
      <w:r w:rsidRPr="00EA1C7D">
        <w:rPr>
          <w:rFonts w:cstheme="minorHAnsi"/>
          <w:szCs w:val="20"/>
          <w:lang w:val="en-US"/>
        </w:rPr>
        <w:t>VMStools</w:t>
      </w:r>
      <w:proofErr w:type="spellEnd"/>
      <w:r w:rsidRPr="00EA1C7D">
        <w:rPr>
          <w:rFonts w:cstheme="minorHAnsi"/>
          <w:szCs w:val="20"/>
          <w:lang w:val="en-US"/>
        </w:rPr>
        <w:t>: Open-source software for the processing, analysis and visualization of fisheries logbook and VMS data. Fisheries Research, 115–116: 31–43.Horwood, J. 1993. The Bristol Channel Sole (</w:t>
      </w:r>
      <w:proofErr w:type="spellStart"/>
      <w:r w:rsidRPr="00EA1C7D">
        <w:rPr>
          <w:rFonts w:cstheme="minorHAnsi"/>
          <w:i/>
          <w:szCs w:val="20"/>
          <w:lang w:val="en-US"/>
        </w:rPr>
        <w:t>Solea</w:t>
      </w:r>
      <w:proofErr w:type="spellEnd"/>
      <w:r w:rsidRPr="00EA1C7D">
        <w:rPr>
          <w:rFonts w:cstheme="minorHAnsi"/>
          <w:i/>
          <w:szCs w:val="20"/>
          <w:lang w:val="en-US"/>
        </w:rPr>
        <w:t xml:space="preserve"> </w:t>
      </w:r>
      <w:proofErr w:type="spellStart"/>
      <w:r w:rsidRPr="00EA1C7D">
        <w:rPr>
          <w:rFonts w:cstheme="minorHAnsi"/>
          <w:i/>
          <w:szCs w:val="20"/>
          <w:lang w:val="en-US"/>
        </w:rPr>
        <w:t>solea</w:t>
      </w:r>
      <w:proofErr w:type="spellEnd"/>
      <w:r w:rsidRPr="00EA1C7D">
        <w:rPr>
          <w:rFonts w:cstheme="minorHAnsi"/>
          <w:szCs w:val="20"/>
          <w:lang w:val="en-US"/>
        </w:rPr>
        <w:t xml:space="preserve"> (L)) - a Fisheries Case-Study. Advances in Marine Biology, 29: 215–367.</w:t>
      </w:r>
    </w:p>
    <w:p w:rsidR="00E30BAE" w:rsidRPr="00E50086" w:rsidRDefault="00E30BAE" w:rsidP="00E30BAE">
      <w:pPr>
        <w:spacing w:before="100" w:beforeAutospacing="1" w:after="120" w:line="360" w:lineRule="auto"/>
        <w:ind w:left="720" w:hanging="720"/>
        <w:contextualSpacing/>
        <w:rPr>
          <w:rFonts w:cstheme="minorHAnsi"/>
          <w:szCs w:val="20"/>
          <w:lang w:val="en-US"/>
        </w:rPr>
      </w:pPr>
      <w:r w:rsidRPr="00E50086">
        <w:rPr>
          <w:rFonts w:cstheme="minorHAnsi"/>
          <w:szCs w:val="20"/>
          <w:lang w:val="en-US"/>
        </w:rPr>
        <w:lastRenderedPageBreak/>
        <w:t>ICES. 2016. Report of the Workshop on guidance on how pressure maps of fishing intensity contribute to an assessment of the state seabed habitats (WKFBI), 31 May 31 May –1 June 2016, ICES Headquarters, Copenhagen, Denmark. ICES CM2016/ACOM</w:t>
      </w:r>
      <w:proofErr w:type="gramStart"/>
      <w:r w:rsidRPr="00E50086">
        <w:rPr>
          <w:rFonts w:cstheme="minorHAnsi"/>
          <w:szCs w:val="20"/>
          <w:lang w:val="en-US"/>
        </w:rPr>
        <w:t>:46.108pp</w:t>
      </w:r>
      <w:proofErr w:type="gramEnd"/>
    </w:p>
    <w:p w:rsidR="00E30BAE" w:rsidRPr="00E50086" w:rsidRDefault="00E30BAE" w:rsidP="00E30BAE">
      <w:pPr>
        <w:spacing w:before="100" w:beforeAutospacing="1" w:after="120" w:line="360" w:lineRule="auto"/>
        <w:ind w:left="720" w:hanging="720"/>
        <w:contextualSpacing/>
        <w:rPr>
          <w:rFonts w:cstheme="minorHAnsi"/>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50086">
        <w:rPr>
          <w:rFonts w:cstheme="minorHAnsi"/>
          <w:szCs w:val="20"/>
          <w:lang w:val="en-US"/>
        </w:rPr>
        <w:t xml:space="preserve">Jennings, S., and Kaiser, M. J. 1998. The effects of fishing on marine ecosystems. </w:t>
      </w:r>
      <w:r w:rsidRPr="00736132">
        <w:rPr>
          <w:rFonts w:cstheme="minorHAnsi"/>
          <w:szCs w:val="20"/>
          <w:lang w:val="en-US"/>
        </w:rPr>
        <w:t>Advances in Marine</w:t>
      </w:r>
      <w:r w:rsidRPr="00EA1C7D">
        <w:rPr>
          <w:rFonts w:cstheme="minorHAnsi"/>
          <w:noProof/>
          <w:szCs w:val="20"/>
          <w:lang w:val="en-US"/>
        </w:rPr>
        <w:t xml:space="preserve"> Biology, 34: 201–352.</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US"/>
        </w:rPr>
        <w:t>Rijnsdorp, A. D., Poos, J. J., Quirijns, F. J., HilleRisLambers, R., de Wilde, J. W., and Den Heijer, W. M. 2008. The arms race between fishers. Journal of Sea Research, 60: 126–138.</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US"/>
        </w:rPr>
        <w:t>Rijnsdorp, A. D., Poos, J.J., and Quirijns, F.J. 2011. Spatial dimension and exploitation dynamics of local fishing grounds by fishers targeting several flatfish species. Canadian Journal of Fisheries &amp; Aquatic Sciences, 68: 1064–1076 .</w:t>
      </w:r>
    </w:p>
    <w:p w:rsidR="00E30BAE" w:rsidRPr="00EA1C7D" w:rsidRDefault="00E30BAE" w:rsidP="00E30BAE">
      <w:pPr>
        <w:spacing w:before="100" w:beforeAutospacing="1" w:after="120" w:line="360" w:lineRule="auto"/>
        <w:ind w:left="720" w:hanging="720"/>
        <w:contextualSpacing/>
        <w:rPr>
          <w:rFonts w:cstheme="minorHAnsi"/>
          <w:noProof/>
          <w:szCs w:val="20"/>
          <w:lang w:val="en-GB"/>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GB"/>
        </w:rPr>
        <w:t xml:space="preserve">Rijnsdorp, A. D., Bastardie, F., Bolam, S. G., Buhl-Mortensen L., Eigaard O.R., Hamon K.G., Hiddink, J.G., </w:t>
      </w:r>
      <w:r w:rsidRPr="00060671">
        <w:rPr>
          <w:rFonts w:cstheme="minorHAnsi"/>
          <w:i/>
          <w:noProof/>
          <w:szCs w:val="20"/>
          <w:lang w:val="en-GB"/>
        </w:rPr>
        <w:t>et al.</w:t>
      </w:r>
      <w:r w:rsidRPr="00EA1C7D">
        <w:rPr>
          <w:rFonts w:cstheme="minorHAnsi"/>
          <w:noProof/>
          <w:szCs w:val="20"/>
          <w:lang w:val="en-GB"/>
        </w:rPr>
        <w:t xml:space="preserve"> 2016. Towards a</w:t>
      </w:r>
      <w:r w:rsidRPr="00EA1C7D">
        <w:rPr>
          <w:rFonts w:cstheme="minorHAnsi"/>
          <w:noProof/>
          <w:szCs w:val="20"/>
          <w:lang w:val="en-US"/>
        </w:rPr>
        <w:t xml:space="preserve"> framework for the quantitative assessment of trawling impacts on the seabed and benthic ecosystem. ICES Journal of Marine Science (2016), 73(Supplement 1), i127–i138. doi:10.1093/icesjms/fsv207</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US"/>
        </w:rPr>
        <w:t>Valdemarsen, J. W. 2001. Technological trends in capture fisheries. Ocean &amp; Coastal Management, 44: 635–651.</w:t>
      </w:r>
    </w:p>
    <w:p w:rsidR="00E30BAE" w:rsidRPr="00EA1C7D" w:rsidRDefault="00E30BAE" w:rsidP="00E30BAE">
      <w:pPr>
        <w:spacing w:before="100" w:beforeAutospacing="1" w:after="120" w:line="360" w:lineRule="auto"/>
        <w:ind w:left="720" w:hanging="720"/>
        <w:contextualSpacing/>
        <w:rPr>
          <w:rFonts w:cstheme="minorHAnsi"/>
          <w:noProof/>
          <w:szCs w:val="20"/>
          <w:lang w:val="en-US"/>
        </w:rPr>
      </w:pPr>
    </w:p>
    <w:p w:rsidR="00E30BAE" w:rsidRDefault="00E30BAE" w:rsidP="00E30BAE">
      <w:pPr>
        <w:spacing w:before="100" w:beforeAutospacing="1" w:after="120" w:line="360" w:lineRule="auto"/>
        <w:ind w:left="720" w:hanging="720"/>
        <w:contextualSpacing/>
        <w:rPr>
          <w:rFonts w:cstheme="minorHAnsi"/>
          <w:noProof/>
          <w:szCs w:val="20"/>
          <w:lang w:val="en-US"/>
        </w:rPr>
      </w:pPr>
      <w:r w:rsidRPr="00EA1C7D">
        <w:rPr>
          <w:rFonts w:cstheme="minorHAnsi"/>
          <w:noProof/>
          <w:szCs w:val="20"/>
          <w:lang w:val="en-US"/>
        </w:rPr>
        <w:t>Watling, L., and Norse, E. A. 1998. Disturbance of the seabed by mobile fishing gear: A comparison to forest clearcutting. Conservation Biology, 12: 1180–1197.</w:t>
      </w:r>
    </w:p>
    <w:p w:rsidR="004A1DA2" w:rsidRDefault="004A1DA2"/>
    <w:sectPr w:rsidR="004A1DA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BFB"/>
    <w:rsid w:val="000E6BFB"/>
    <w:rsid w:val="004A1DA2"/>
    <w:rsid w:val="00E30B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3B968-A450-4854-8B05-3FB66EC9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BAE"/>
  </w:style>
  <w:style w:type="paragraph" w:styleId="Heading1">
    <w:name w:val="heading 1"/>
    <w:basedOn w:val="Normal"/>
    <w:next w:val="Normal"/>
    <w:link w:val="Heading1Char"/>
    <w:uiPriority w:val="9"/>
    <w:qFormat/>
    <w:rsid w:val="00E30B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B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30BAE"/>
    <w:rPr>
      <w:color w:val="0563C1" w:themeColor="hyperlink"/>
      <w:u w:val="single"/>
    </w:rPr>
  </w:style>
  <w:style w:type="paragraph" w:styleId="BalloonText">
    <w:name w:val="Balloon Text"/>
    <w:basedOn w:val="Normal"/>
    <w:link w:val="BalloonTextChar"/>
    <w:uiPriority w:val="99"/>
    <w:semiHidden/>
    <w:unhideWhenUsed/>
    <w:rsid w:val="00E30B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B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image" Target="media/image9.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1.png"/><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 Id="rId14" Type="http://schemas.openxmlformats.org/officeDocument/2006/relationships/hyperlink" Target="https://github.com/frabas/FisheriesImpact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2746</Words>
  <Characters>22246</Characters>
  <Application>Microsoft Office Word</Application>
  <DocSecurity>0</DocSecurity>
  <Lines>185</Lines>
  <Paragraphs>49</Paragraphs>
  <ScaleCrop>false</ScaleCrop>
  <Company/>
  <LinksUpToDate>false</LinksUpToDate>
  <CharactersWithSpaces>24943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Milardi</dc:creator>
  <cp:keywords/>
  <dc:description/>
  <cp:lastModifiedBy>Marco Milardi</cp:lastModifiedBy>
  <cp:revision>2</cp:revision>
  <dcterms:created xsi:type="dcterms:W3CDTF">2016-10-28T08:50:00Z</dcterms:created>
  <dcterms:modified xsi:type="dcterms:W3CDTF">2016-10-28T08:51:00Z</dcterms:modified>
</cp:coreProperties>
</file>