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1c1d" w:val="clear"/>
            <w:tcMar>
              <w:top w:type="dxa" w:w="2160"/>
              <w:left w:type="dxa" w:w="1440"/>
              <w:bottom w:type="dxa" w:w="560"/>
              <w:right w:type="dxa" w:w="1440"/>
            </w:tcMar>
          </w:tcPr>
          <w:p>
            <w:pPr>
              <w:spacing w:before="0" w:after="0"/>
            </w:pPr>
            <w:r>
              <w:rPr>
                <w:rFonts w:ascii="Lato" w:cs="Lato" w:eastAsia="Lato" w:hAnsi="Lato"/>
                <w:b/>
                <w:bCs/>
                <w:color w:val="FFFFFF"/>
                <w:sz w:val="96"/>
                <w:szCs w:val="96"/>
              </w:rPr>
              <w:t xml:space="preserve">Gnar</w:t>
            </w:r>
            <w:r>
              <w:rPr>
                <w:rFonts w:ascii="Lato" w:cs="Lato" w:eastAsia="Lato" w:hAnsi="Lato"/>
                <w:b/>
                <w:bCs/>
                <w:color w:val="FF9900"/>
                <w:sz w:val="96"/>
                <w:szCs w:val="96"/>
              </w:rPr>
              <w:t xml:space="preserv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9900" w:val="clear"/>
            <w:tcMar>
              <w:top w:type="dxa" w:w="0"/>
              <w:left w:type="dxa" w:w="0"/>
              <w:bottom w:type="dxa" w:w="0"/>
              <w:right w:type="dxa" w:w="0"/>
            </w:tcMar>
          </w:tcPr>
          <w:p>
            <w:pPr>
              <w:spacing w:before="0" w:after="0"/>
            </w:pPr>
            <w:r>
              <w:t xml:space="preserve"/>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1200"/>
              <w:left w:type="dxa" w:w="1440"/>
              <w:bottom w:type="dxa" w:w="1440"/>
              <w:right w:type="dxa" w:w="1440"/>
            </w:tcMar>
          </w:tcPr>
          <w:p>
            <w:pPr>
              <w:spacing w:before="0" w:after="80"/>
            </w:pPr>
            <w:r>
              <w:rPr>
                <w:rFonts w:ascii="Lato" w:cs="Lato" w:eastAsia="Lato" w:hAnsi="Lato"/>
                <w:b/>
                <w:bCs/>
                <w:color w:val="1b1c1d"/>
                <w:spacing w:val="40"/>
                <w:sz w:val="44"/>
                <w:szCs w:val="44"/>
              </w:rPr>
              <w:t xml:space="preserve">ERP MODERNIZATION PROPOSAL</w:t>
            </w:r>
          </w:p>
          <w:p>
            <w:pPr>
              <w:spacing w:before="0" w:after="600"/>
            </w:pPr>
            <w:r>
              <w:rPr>
                <w:rFonts w:ascii="Lato" w:cs="Lato" w:eastAsia="Lato" w:hAnsi="Lato"/>
                <w:color w:val="666666"/>
                <w:sz w:val="28"/>
                <w:szCs w:val="28"/>
              </w:rPr>
              <w:t xml:space="preserve">Prepared for UTILITYnet</w:t>
            </w:r>
          </w:p>
          <w:p>
            <w:pPr>
              <w:pBdr>
                <w:bottom w:val="single" w:color="cccccc" w:sz="2"/>
              </w:pBdr>
              <w:spacing w:before="0" w:after="600"/>
            </w:pPr>
            <w:r>
              <w:t xml:space="preserve"/>
            </w:r>
          </w:p>
          <w:p>
            <w:pPr>
              <w:spacing w:before="0" w:after="80"/>
            </w:pPr>
            <w:r>
              <w:rPr>
                <w:rFonts w:ascii="Lato" w:cs="Lato" w:eastAsia="Lato" w:hAnsi="Lato"/>
                <w:b/>
                <w:bCs/>
                <w:color w:val="FF9900"/>
                <w:spacing w:val="80"/>
                <w:sz w:val="18"/>
                <w:szCs w:val="18"/>
              </w:rPr>
              <w:t xml:space="preserve">INVESTMENT</w:t>
            </w:r>
          </w:p>
          <w:p>
            <w:pPr>
              <w:spacing w:before="0" w:after="60"/>
            </w:pPr>
            <w:r>
              <w:rPr>
                <w:rFonts w:ascii="Lato" w:cs="Lato" w:eastAsia="Lato" w:hAnsi="Lato"/>
                <w:b/>
                <w:bCs/>
                <w:color w:val="1b1c1d"/>
                <w:sz w:val="52"/>
                <w:szCs w:val="52"/>
              </w:rPr>
              <w:t xml:space="preserve">~CAD $4.4M over 3 years</w:t>
            </w:r>
          </w:p>
          <w:p>
            <w:pPr>
              <w:spacing w:before="0" w:after="600"/>
            </w:pPr>
            <w:r>
              <w:rPr>
                <w:rFonts w:ascii="Lato" w:cs="Lato" w:eastAsia="Lato" w:hAnsi="Lato"/>
                <w:i/>
                <w:iCs/>
                <w:color w:val="666666"/>
                <w:sz w:val="22"/>
                <w:szCs w:val="22"/>
              </w:rPr>
              <w:t xml:space="preserve">Phase-gated · Discovery fixed at CAD $310K · Indicative phases within ±15–20%</w:t>
            </w:r>
          </w:p>
          <w:p>
            <w:pPr>
              <w:pBdr>
                <w:bottom w:val="single" w:color="cccccc" w:sz="2"/>
              </w:pBdr>
              <w:spacing w:before="0" w:after="600"/>
            </w:pPr>
            <w:r>
              <w:t xml:space="preserve"/>
            </w:r>
          </w:p>
          <w:p>
            <w:pPr>
              <w:spacing w:before="0" w:after="80"/>
            </w:pPr>
            <w:r>
              <w:rPr>
                <w:rFonts w:ascii="Lato" w:cs="Lato" w:eastAsia="Lato" w:hAnsi="Lato"/>
                <w:color w:val="666666"/>
                <w:sz w:val="20"/>
                <w:szCs w:val="20"/>
              </w:rPr>
              <w:t xml:space="preserve">Submitted by</w:t>
            </w:r>
          </w:p>
          <w:p>
            <w:pPr>
              <w:spacing w:before="0" w:after="60"/>
            </w:pPr>
            <w:r>
              <w:rPr>
                <w:rFonts w:ascii="Lato" w:cs="Lato" w:eastAsia="Lato" w:hAnsi="Lato"/>
                <w:b/>
                <w:bCs/>
                <w:color w:val="1b1c1d"/>
                <w:sz w:val="30"/>
                <w:szCs w:val="30"/>
              </w:rPr>
              <w:t xml:space="preserve">The Gnar Company</w:t>
            </w:r>
          </w:p>
          <w:p>
            <w:pPr>
              <w:spacing w:before="0" w:after="80"/>
            </w:pPr>
            <w:r>
              <w:rPr>
                <w:rFonts w:ascii="Lato" w:cs="Lato" w:eastAsia="Lato" w:hAnsi="Lato"/>
                <w:color w:val="666666"/>
                <w:sz w:val="22"/>
                <w:szCs w:val="22"/>
              </w:rPr>
              <w:t xml:space="preserve">Boston, MA  ·  thegnar.com</w:t>
            </w:r>
          </w:p>
          <w:p>
            <w:pPr>
              <w:spacing w:before="0" w:after="240"/>
            </w:pPr>
            <w:r>
              <w:t xml:space="preserve"/>
            </w:r>
          </w:p>
          <w:p>
            <w:pPr>
              <w:spacing w:before="0" w:after="0"/>
            </w:pPr>
            <w:r>
              <w:rPr>
                <w:rFonts w:ascii="Lato" w:cs="Lato" w:eastAsia="Lato" w:hAnsi="Lato"/>
                <w:color w:val="cccccc"/>
                <w:sz w:val="20"/>
                <w:szCs w:val="20"/>
              </w:rPr>
              <w:t xml:space="preserve">Confidential  ·  February 2026</w:t>
            </w:r>
          </w:p>
        </w:tc>
      </w:tr>
    </w:tbl>
    <w:p>
      <w:r>
        <w:br w:type="page"/>
      </w:r>
    </w:p>
    <w:p>
      <w:pPr>
        <w:sectPr>
          <w:pgSz w:w="12240" w:h="15840" w:orient="portrait"/>
          <w:pgMar w:top="0" w:right="0" w:bottom="0" w:left="0" w:header="708" w:footer="708" w:gutter="0"/>
          <w:pgNumType/>
          <w:docGrid w:linePitch="360"/>
        </w:sectPr>
      </w:pPr>
    </w:p>
    <w:p>
      <w:pPr>
        <w:spacing w:before="480" w:after="80"/>
      </w:pPr>
      <w:r>
        <w:rPr>
          <w:rFonts w:ascii="Lato" w:cs="Lato" w:eastAsia="Lato" w:hAnsi="Lato"/>
          <w:b/>
          <w:bCs/>
          <w:color w:val="FF9900"/>
          <w:sz w:val="24"/>
          <w:szCs w:val="24"/>
        </w:rPr>
        <w:t xml:space="preserve">— </w:t>
      </w:r>
      <w:r>
        <w:rPr>
          <w:rFonts w:ascii="Lato" w:cs="Lato" w:eastAsia="Lato" w:hAnsi="Lato"/>
          <w:b/>
          <w:bCs/>
          <w:color w:val="1b1c1d"/>
          <w:spacing w:val="40"/>
          <w:sz w:val="24"/>
          <w:szCs w:val="24"/>
        </w:rPr>
        <w:t xml:space="preserve">EXECUTIVE SUMMARY</w:t>
      </w:r>
    </w:p>
    <w:p>
      <w:pPr>
        <w:pBdr>
          <w:bottom w:val="single" w:color="FF9900" w:sz="4" w:space="4"/>
        </w:pBdr>
        <w:spacing w:before="0" w:after="240"/>
      </w:pPr>
      <w:r>
        <w:t xml:space="preserve"/>
      </w:r>
    </w:p>
    <w:p>
      <w:pPr>
        <w:spacing w:before="0" w:after="120"/>
        <w:contextualSpacing w:val="false"/>
      </w:pPr>
      <w:r>
        <w:rPr>
          <w:rFonts w:ascii="Lato" w:cs="Lato" w:eastAsia="Lato" w:hAnsi="Lato"/>
          <w:color w:val="666666"/>
          <w:sz w:val="22"/>
          <w:szCs w:val="22"/>
        </w:rPr>
        <w:t xml:space="preserve">UTILITYnet operates at the intersection of complex energy retail, partner marketer relationships, and regulatory compliance — all on a technology stack that was never designed to scale with you. Oracle PL/SQL and Sage 50 served their purpose. Today they are a ceiling, not a foundation. Every workaround adds risk. Every manual process adds cost.</w:t>
      </w:r>
    </w:p>
    <w:p>
      <w:pPr>
        <w:spacing w:before="0" w:after="120"/>
      </w:pPr>
      <w:r>
        <w:t xml:space="preserve"/>
      </w:r>
    </w:p>
    <w:p>
      <w:pPr>
        <w:spacing w:before="0" w:after="120"/>
        <w:contextualSpacing w:val="false"/>
      </w:pPr>
      <w:r>
        <w:rPr>
          <w:rFonts w:ascii="Lato" w:cs="Lato" w:eastAsia="Lato" w:hAnsi="Lato"/>
          <w:color w:val="666666"/>
          <w:sz w:val="22"/>
          <w:szCs w:val="22"/>
        </w:rPr>
        <w:t xml:space="preserve">The Gnar Company is proposing a full-stack ERP modernization purpose-built for an Alberta energy retailer. Not a generic enterprise template. Not a rip-and-replace that creates a new set of problems. A modern, AI-enabled platform that handles partner marketer billing, customer data, settlements, and finance in a single coherent system — and hands the keys back to your team, not to a permanent consulting dependency.</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FF99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efefef" w:val="clear"/>
            <w:tcMar>
              <w:top w:type="dxa" w:w="160"/>
              <w:left w:type="dxa" w:w="220"/>
              <w:bottom w:type="dxa" w:w="160"/>
              <w:right w:type="dxa" w:w="220"/>
            </w:tcMar>
          </w:tcPr>
          <w:p>
            <w:pPr>
              <w:spacing w:before="0" w:after="60"/>
            </w:pPr>
            <w:r>
              <w:rPr>
                <w:rFonts w:ascii="Lato" w:cs="Lato" w:eastAsia="Lato" w:hAnsi="Lato"/>
                <w:b/>
                <w:bCs/>
                <w:color w:val="303030"/>
                <w:sz w:val="22"/>
                <w:szCs w:val="22"/>
              </w:rPr>
              <w:t xml:space="preserve">Our Commitment</w:t>
            </w:r>
          </w:p>
          <w:p>
            <w:pPr>
              <w:spacing w:before="0" w:after="0"/>
            </w:pPr>
            <w:r>
              <w:rPr>
                <w:rFonts w:ascii="Lato" w:cs="Lato" w:eastAsia="Lato" w:hAnsi="Lato"/>
                <w:color w:val="666666"/>
                <w:sz w:val="22"/>
                <w:szCs w:val="22"/>
              </w:rPr>
              <w:t xml:space="preserve">Fixed-price. Outcome-defined. If it takes us longer than planned, that is our problem, not yours. If we move faster, that efficiency is our reward for excellence. You get certainty. We get accountability.</w:t>
            </w:r>
          </w:p>
        </w:tc>
      </w:tr>
    </w:tbl>
    <w:p>
      <w:pPr>
        <w:spacing w:before="0" w:after="400"/>
      </w:pPr>
      <w:r>
        <w:t xml:space="preserve"/>
      </w:r>
    </w:p>
    <w:p>
      <w:pPr>
        <w:spacing w:before="480" w:after="80"/>
      </w:pPr>
      <w:r>
        <w:rPr>
          <w:rFonts w:ascii="Lato" w:cs="Lato" w:eastAsia="Lato" w:hAnsi="Lato"/>
          <w:b/>
          <w:bCs/>
          <w:color w:val="FF9900"/>
          <w:sz w:val="24"/>
          <w:szCs w:val="24"/>
        </w:rPr>
        <w:t xml:space="preserve">— </w:t>
      </w:r>
      <w:r>
        <w:rPr>
          <w:rFonts w:ascii="Lato" w:cs="Lato" w:eastAsia="Lato" w:hAnsi="Lato"/>
          <w:b/>
          <w:bCs/>
          <w:color w:val="1b1c1d"/>
          <w:spacing w:val="40"/>
          <w:sz w:val="24"/>
          <w:szCs w:val="24"/>
        </w:rPr>
        <w:t xml:space="preserve">UNDERSTANDING YOUR SITUATION</w:t>
      </w:r>
    </w:p>
    <w:p>
      <w:pPr>
        <w:pBdr>
          <w:bottom w:val="single" w:color="FF9900" w:sz="4" w:space="4"/>
        </w:pBdr>
        <w:spacing w:before="0" w:after="240"/>
      </w:pPr>
      <w:r>
        <w:t xml:space="preserve"/>
      </w:r>
    </w:p>
    <w:p>
      <w:pPr>
        <w:spacing w:before="0" w:after="120"/>
        <w:contextualSpacing w:val="false"/>
      </w:pPr>
      <w:r>
        <w:rPr>
          <w:rFonts w:ascii="Lato" w:cs="Lato" w:eastAsia="Lato" w:hAnsi="Lato"/>
          <w:color w:val="666666"/>
          <w:sz w:val="22"/>
          <w:szCs w:val="22"/>
        </w:rPr>
        <w:t xml:space="preserve">Based on the RFP documentation and Q&amp;A process, we understand UTILITYnet faces the following core challenges:</w:t>
      </w:r>
    </w:p>
    <w:p>
      <w:pPr>
        <w:spacing w:before="0" w:after="120"/>
      </w:pPr>
      <w:r>
        <w:t xml:space="preserve"/>
      </w:r>
    </w:p>
    <w:p>
      <w:pPr>
        <w:pStyle w:val="ListParagraph"/>
        <w:numPr>
          <w:ilvl w:val="0"/>
          <w:numId w:val="2"/>
        </w:numPr>
        <w:spacing w:before="60" w:after="60"/>
      </w:pPr>
      <w:r>
        <w:rPr>
          <w:rFonts w:ascii="Lato" w:cs="Lato" w:eastAsia="Lato" w:hAnsi="Lato"/>
          <w:color w:val="666666"/>
          <w:sz w:val="22"/>
          <w:szCs w:val="22"/>
        </w:rPr>
        <w:t xml:space="preserve">Legacy systems (Oracle PL/SQL + Sage 50) are deeply entangled, creating high operational risk and limited extensibility.</w:t>
      </w:r>
    </w:p>
    <w:p>
      <w:pPr>
        <w:pStyle w:val="ListParagraph"/>
        <w:numPr>
          <w:ilvl w:val="0"/>
          <w:numId w:val="2"/>
        </w:numPr>
        <w:spacing w:before="60" w:after="60"/>
      </w:pPr>
      <w:r>
        <w:rPr>
          <w:rFonts w:ascii="Lato" w:cs="Lato" w:eastAsia="Lato" w:hAnsi="Lato"/>
          <w:color w:val="666666"/>
          <w:sz w:val="22"/>
          <w:szCs w:val="22"/>
        </w:rPr>
        <w:t xml:space="preserve">Partner marketer channel adds complexity to billing, settlements, and reporting that off-the-shelf systems handle poorly.</w:t>
      </w:r>
    </w:p>
    <w:p>
      <w:pPr>
        <w:pStyle w:val="ListParagraph"/>
        <w:numPr>
          <w:ilvl w:val="0"/>
          <w:numId w:val="2"/>
        </w:numPr>
        <w:spacing w:before="60" w:after="60"/>
      </w:pPr>
      <w:r>
        <w:rPr>
          <w:rFonts w:ascii="Lato" w:cs="Lato" w:eastAsia="Lato" w:hAnsi="Lato"/>
          <w:color w:val="666666"/>
          <w:sz w:val="22"/>
          <w:szCs w:val="22"/>
        </w:rPr>
        <w:t xml:space="preserve">Finance modernization is the highest-priority first step — a clean GL, AP/AR, and billing foundation enables everything else.</w:t>
      </w:r>
    </w:p>
    <w:p>
      <w:pPr>
        <w:pStyle w:val="ListParagraph"/>
        <w:numPr>
          <w:ilvl w:val="0"/>
          <w:numId w:val="2"/>
        </w:numPr>
        <w:spacing w:before="60" w:after="60"/>
      </w:pPr>
      <w:r>
        <w:rPr>
          <w:rFonts w:ascii="Lato" w:cs="Lato" w:eastAsia="Lato" w:hAnsi="Lato"/>
          <w:color w:val="666666"/>
          <w:sz w:val="22"/>
          <w:szCs w:val="22"/>
        </w:rPr>
        <w:t xml:space="preserve">Post-go-live, UTILITYnet wants full vendor-managed operations — help desk, enhancements, releases, integrations, and reporting.</w:t>
      </w:r>
    </w:p>
    <w:p>
      <w:pPr>
        <w:pStyle w:val="ListParagraph"/>
        <w:numPr>
          <w:ilvl w:val="0"/>
          <w:numId w:val="2"/>
        </w:numPr>
        <w:spacing w:before="60" w:after="60"/>
      </w:pPr>
      <w:r>
        <w:rPr>
          <w:rFonts w:ascii="Lato" w:cs="Lato" w:eastAsia="Lato" w:hAnsi="Lato"/>
          <w:color w:val="666666"/>
          <w:sz w:val="22"/>
          <w:szCs w:val="22"/>
        </w:rPr>
        <w:t xml:space="preserve">An internal business owner will be assigned; decision authority rests with UTILITYnet management.</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FF99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efefef" w:val="clear"/>
            <w:tcMar>
              <w:top w:type="dxa" w:w="160"/>
              <w:left w:type="dxa" w:w="220"/>
              <w:bottom w:type="dxa" w:w="160"/>
              <w:right w:type="dxa" w:w="220"/>
            </w:tcMar>
          </w:tcPr>
          <w:p>
            <w:pPr>
              <w:spacing w:before="0" w:after="60"/>
            </w:pPr>
            <w:r>
              <w:rPr>
                <w:rFonts w:ascii="Lato" w:cs="Lato" w:eastAsia="Lato" w:hAnsi="Lato"/>
                <w:b/>
                <w:bCs/>
                <w:color w:val="303030"/>
                <w:sz w:val="22"/>
                <w:szCs w:val="22"/>
              </w:rPr>
              <w:t xml:space="preserve">Why This Is Harder Than It Looks</w:t>
            </w:r>
          </w:p>
          <w:p>
            <w:pPr>
              <w:spacing w:before="0" w:after="0"/>
            </w:pPr>
            <w:r>
              <w:rPr>
                <w:rFonts w:ascii="Lato" w:cs="Lato" w:eastAsia="Lato" w:hAnsi="Lato"/>
                <w:color w:val="666666"/>
                <w:sz w:val="22"/>
                <w:szCs w:val="22"/>
              </w:rPr>
              <w:t xml:space="preserve">Energy retail ERP modernization is not a standard implementation. The partner marketer layer creates billing and settlement complexity that most platforms treat as an edge case. Alberta regulatory obligations add compliance dimensions that require deep domain integration, not a compliance checkbox. We know where the landmines are.</w:t>
            </w:r>
          </w:p>
        </w:tc>
      </w:tr>
    </w:tbl>
    <w:p>
      <w:pPr>
        <w:spacing w:before="0" w:after="400"/>
      </w:pPr>
      <w:r>
        <w:t xml:space="preserve"/>
      </w:r>
    </w:p>
    <w:p>
      <w:pPr>
        <w:spacing w:before="480" w:after="80"/>
      </w:pPr>
      <w:r>
        <w:rPr>
          <w:rFonts w:ascii="Lato" w:cs="Lato" w:eastAsia="Lato" w:hAnsi="Lato"/>
          <w:b/>
          <w:bCs/>
          <w:color w:val="FF9900"/>
          <w:sz w:val="24"/>
          <w:szCs w:val="24"/>
        </w:rPr>
        <w:t xml:space="preserve">— </w:t>
      </w:r>
      <w:r>
        <w:rPr>
          <w:rFonts w:ascii="Lato" w:cs="Lato" w:eastAsia="Lato" w:hAnsi="Lato"/>
          <w:b/>
          <w:bCs/>
          <w:color w:val="1b1c1d"/>
          <w:spacing w:val="40"/>
          <w:sz w:val="24"/>
          <w:szCs w:val="24"/>
        </w:rPr>
        <w:t xml:space="preserve">PROPOSED SOLUTION &amp; DELIVERY APPROACH</w:t>
      </w:r>
    </w:p>
    <w:p>
      <w:pPr>
        <w:pBdr>
          <w:bottom w:val="single" w:color="FF9900" w:sz="4" w:space="4"/>
        </w:pBdr>
        <w:spacing w:before="0" w:after="240"/>
      </w:pPr>
      <w:r>
        <w:t xml:space="preserve"/>
      </w:r>
    </w:p>
    <w:p>
      <w:pPr>
        <w:spacing w:before="0" w:after="120"/>
        <w:contextualSpacing w:val="false"/>
      </w:pPr>
      <w:r>
        <w:rPr>
          <w:rFonts w:ascii="Lato" w:cs="Lato" w:eastAsia="Lato" w:hAnsi="Lato"/>
          <w:color w:val="666666"/>
          <w:sz w:val="22"/>
          <w:szCs w:val="22"/>
        </w:rPr>
        <w:t xml:space="preserve">We propose a phased, application-first modernization structured around business risk and operational continuity. Finance goes first because it is the foundation everything else sits on. Each phase is independently deliverable, has a defined go-live, and produces immediate operational value.</w:t>
      </w:r>
    </w:p>
    <w:p>
      <w:pP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00" w:sz="16"/>
              <w:left w:val="none" w:color="FFFFFF" w:sz="0"/>
              <w:bottom w:val="none" w:color="FFFFFF" w:sz="0"/>
              <w:right w:val="none" w:color="FFFFFF" w:sz="0"/>
            </w:tcBorders>
            <w:shd w:fill="1b1c1d" w:val="clear"/>
            <w:tcMar>
              <w:top w:type="dxa" w:w="140"/>
              <w:left w:type="dxa" w:w="200"/>
              <w:bottom w:type="dxa" w:w="140"/>
              <w:right w:type="dxa" w:w="200"/>
            </w:tcMar>
          </w:tcPr>
          <w:p>
            <w:pPr>
              <w:spacing w:before="0" w:after="40"/>
            </w:pPr>
            <w:r>
              <w:rPr>
                <w:rFonts w:ascii="Lato" w:cs="Lato" w:eastAsia="Lato" w:hAnsi="Lato"/>
                <w:b/>
                <w:bCs/>
                <w:color w:val="FF9900"/>
                <w:sz w:val="26"/>
                <w:szCs w:val="26"/>
              </w:rPr>
              <w:t xml:space="preserve">Phase 0  </w:t>
            </w:r>
            <w:r>
              <w:rPr>
                <w:rFonts w:ascii="Lato" w:cs="Lato" w:eastAsia="Lato" w:hAnsi="Lato"/>
                <w:b/>
                <w:bCs/>
                <w:color w:val="FFFFFF"/>
                <w:sz w:val="26"/>
                <w:szCs w:val="26"/>
              </w:rPr>
              <w:t xml:space="preserve">Discovery &amp; Solution Design</w:t>
            </w:r>
          </w:p>
          <w:p>
            <w:pPr>
              <w:spacing w:before="0" w:after="0"/>
            </w:pPr>
            <w:r>
              <w:rPr>
                <w:rFonts w:ascii="Lato" w:cs="Lato" w:eastAsia="Lato" w:hAnsi="Lato"/>
                <w:color w:val="cccccc"/>
                <w:sz w:val="20"/>
                <w:szCs w:val="20"/>
              </w:rPr>
              <w:t xml:space="preserve">8–10 Weeks  ·  </w:t>
            </w:r>
            <w:r>
              <w:rPr>
                <w:rFonts w:ascii="Lato" w:cs="Lato" w:eastAsia="Lato" w:hAnsi="Lato"/>
                <w:b/>
                <w:bCs/>
                <w:color w:val="FF9900"/>
                <w:sz w:val="20"/>
                <w:szCs w:val="20"/>
              </w:rPr>
              <w:t xml:space="preserve">CAD $310,000 Fixed</w:t>
            </w:r>
          </w:p>
        </w:tc>
      </w:tr>
      <w:tr>
        <w:tc>
          <w:tcPr>
            <w:tcW w:type="dxa" w:w="9360"/>
            <w:tcBorders>
              <w:top w:val="none" w:color="FFFFFF" w:sz="0"/>
              <w:left w:val="single" w:color="FF9900" w:sz="12"/>
              <w:bottom w:val="single" w:color="cccccc" w:sz="2"/>
              <w:right w:val="none" w:color="FFFFFF" w:sz="0"/>
            </w:tcBorders>
            <w:shd w:fill="F9F9F9" w:val="clear"/>
            <w:tcMar>
              <w:top w:type="dxa" w:w="140"/>
              <w:left w:type="dxa" w:w="200"/>
              <w:bottom w:type="dxa" w:w="160"/>
              <w:right w:type="dxa" w:w="200"/>
            </w:tcMar>
          </w:tcPr>
          <w:p>
            <w:pPr>
              <w:pStyle w:val="ListParagraph"/>
              <w:numPr>
                <w:ilvl w:val="0"/>
                <w:numId w:val="2"/>
              </w:numPr>
              <w:spacing w:before="60" w:after="60"/>
            </w:pPr>
            <w:r>
              <w:rPr>
                <w:rFonts w:ascii="Lato" w:cs="Lato" w:eastAsia="Lato" w:hAnsi="Lato"/>
                <w:color w:val="666666"/>
                <w:sz w:val="21"/>
                <w:szCs w:val="21"/>
              </w:rPr>
              <w:t xml:space="preserve">Full current-state documentation: Oracle PL/SQL business logic extraction, Sage 50 data mapping, integration inventory</w:t>
            </w:r>
          </w:p>
          <w:p>
            <w:pPr>
              <w:pStyle w:val="ListParagraph"/>
              <w:numPr>
                <w:ilvl w:val="0"/>
                <w:numId w:val="2"/>
              </w:numPr>
              <w:spacing w:before="60" w:after="60"/>
            </w:pPr>
            <w:r>
              <w:rPr>
                <w:rFonts w:ascii="Lato" w:cs="Lato" w:eastAsia="Lato" w:hAnsi="Lato"/>
                <w:color w:val="666666"/>
                <w:sz w:val="21"/>
                <w:szCs w:val="21"/>
              </w:rPr>
              <w:t xml:space="preserve">Requirements validation: structured workshops across finance, operations, and partner management</w:t>
            </w:r>
          </w:p>
          <w:p>
            <w:pPr>
              <w:pStyle w:val="ListParagraph"/>
              <w:numPr>
                <w:ilvl w:val="0"/>
                <w:numId w:val="2"/>
              </w:numPr>
              <w:spacing w:before="60" w:after="60"/>
            </w:pPr>
            <w:r>
              <w:rPr>
                <w:rFonts w:ascii="Lato" w:cs="Lato" w:eastAsia="Lato" w:hAnsi="Lato"/>
                <w:color w:val="666666"/>
                <w:sz w:val="21"/>
                <w:szCs w:val="21"/>
              </w:rPr>
              <w:t xml:space="preserve">Architecture decision and vendor selection: platform evaluation, integration approach, data migration strategy</w:t>
            </w:r>
          </w:p>
          <w:p>
            <w:pPr>
              <w:pStyle w:val="ListParagraph"/>
              <w:numPr>
                <w:ilvl w:val="0"/>
                <w:numId w:val="2"/>
              </w:numPr>
              <w:spacing w:before="60" w:after="60"/>
            </w:pPr>
            <w:r>
              <w:rPr>
                <w:rFonts w:ascii="Lato" w:cs="Lato" w:eastAsia="Lato" w:hAnsi="Lato"/>
                <w:color w:val="666666"/>
                <w:sz w:val="21"/>
                <w:szCs w:val="21"/>
              </w:rPr>
              <w:t xml:space="preserve">Alberta regulatory compliance mapping embedded into solution design from day one</w:t>
            </w:r>
          </w:p>
          <w:p>
            <w:pPr>
              <w:pStyle w:val="ListParagraph"/>
              <w:numPr>
                <w:ilvl w:val="0"/>
                <w:numId w:val="2"/>
              </w:numPr>
              <w:spacing w:before="60" w:after="60"/>
            </w:pPr>
            <w:r>
              <w:rPr>
                <w:rFonts w:ascii="Lato" w:cs="Lato" w:eastAsia="Lato" w:hAnsi="Lato"/>
                <w:color w:val="666666"/>
                <w:sz w:val="21"/>
                <w:szCs w:val="21"/>
              </w:rPr>
              <w:t xml:space="preserve">Detailed migration playbook: risk register, sequencing, rollback planning</w:t>
            </w:r>
          </w:p>
          <w:p>
            <w:pPr>
              <w:pStyle w:val="ListParagraph"/>
              <w:numPr>
                <w:ilvl w:val="0"/>
                <w:numId w:val="2"/>
              </w:numPr>
              <w:spacing w:before="60" w:after="60"/>
            </w:pPr>
            <w:r>
              <w:rPr>
                <w:rFonts w:ascii="Lato" w:cs="Lato" w:eastAsia="Lato" w:hAnsi="Lato"/>
                <w:color w:val="666666"/>
                <w:sz w:val="21"/>
                <w:szCs w:val="21"/>
              </w:rPr>
              <w:t xml:space="preserve">Phase 1–3 scope confirmation with updated fixed-price commitment (within ±15–20% of indicative pricing)</w:t>
            </w:r>
          </w:p>
          <w:p>
            <w:pPr>
              <w:pStyle w:val="ListParagraph"/>
              <w:numPr>
                <w:ilvl w:val="0"/>
                <w:numId w:val="2"/>
              </w:numPr>
              <w:spacing w:before="60" w:after="60"/>
            </w:pPr>
            <w:r>
              <w:rPr>
                <w:rFonts w:ascii="Lato" w:cs="Lato" w:eastAsia="Lato" w:hAnsi="Lato"/>
                <w:color w:val="666666"/>
                <w:sz w:val="21"/>
                <w:szCs w:val="21"/>
              </w:rPr>
              <w:t xml:space="preserve">Deliverable: Solution Design Document, finalized Phase 1 SOW, signed-off roadmap</w:t>
            </w:r>
          </w:p>
        </w:tc>
      </w:tr>
    </w:tbl>
    <w:p>
      <w:pPr>
        <w:spacing w:before="0" w:after="200"/>
      </w:pPr>
      <w:r>
        <w:t xml:space="preserve"/>
      </w:r>
    </w:p>
    <w:p>
      <w:pPr>
        <w:spacing w:before="0" w:after="120"/>
        <w:contextualSpacing w:val="false"/>
      </w:pPr>
      <w:r>
        <w:rPr>
          <w:rFonts w:ascii="Lato" w:cs="Lato" w:eastAsia="Lato" w:hAnsi="Lato"/>
          <w:i/>
          <w:iCs/>
          <w:color w:val="666666"/>
          <w:sz w:val="22"/>
          <w:szCs w:val="22"/>
        </w:rPr>
        <w:t xml:space="preserve">Discovery is the only commitment we are asking UTILITYnet to make today. At the end of Phase 0, you will have everything you need to proceed — or to walk away with a complete blueprint.</w:t>
      </w:r>
    </w:p>
    <w:p>
      <w:pP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00" w:sz="16"/>
              <w:left w:val="none" w:color="FFFFFF" w:sz="0"/>
              <w:bottom w:val="none" w:color="FFFFFF" w:sz="0"/>
              <w:right w:val="none" w:color="FFFFFF" w:sz="0"/>
            </w:tcBorders>
            <w:shd w:fill="1b1c1d" w:val="clear"/>
            <w:tcMar>
              <w:top w:type="dxa" w:w="140"/>
              <w:left w:type="dxa" w:w="200"/>
              <w:bottom w:type="dxa" w:w="140"/>
              <w:right w:type="dxa" w:w="200"/>
            </w:tcMar>
          </w:tcPr>
          <w:p>
            <w:pPr>
              <w:spacing w:before="0" w:after="40"/>
            </w:pPr>
            <w:r>
              <w:rPr>
                <w:rFonts w:ascii="Lato" w:cs="Lato" w:eastAsia="Lato" w:hAnsi="Lato"/>
                <w:b/>
                <w:bCs/>
                <w:color w:val="FF9900"/>
                <w:sz w:val="26"/>
                <w:szCs w:val="26"/>
              </w:rPr>
              <w:t xml:space="preserve">Phase 1  </w:t>
            </w:r>
            <w:r>
              <w:rPr>
                <w:rFonts w:ascii="Lato" w:cs="Lato" w:eastAsia="Lato" w:hAnsi="Lato"/>
                <w:b/>
                <w:bCs/>
                <w:color w:val="FFFFFF"/>
                <w:sz w:val="26"/>
                <w:szCs w:val="26"/>
              </w:rPr>
              <w:t xml:space="preserve">Core Finance — Sage Intacct Go-Live</w:t>
            </w:r>
          </w:p>
          <w:p>
            <w:pPr>
              <w:spacing w:before="0" w:after="0"/>
            </w:pPr>
            <w:r>
              <w:rPr>
                <w:rFonts w:ascii="Lato" w:cs="Lato" w:eastAsia="Lato" w:hAnsi="Lato"/>
                <w:color w:val="cccccc"/>
                <w:sz w:val="20"/>
                <w:szCs w:val="20"/>
              </w:rPr>
              <w:t xml:space="preserve">5–6 Months  ·  </w:t>
            </w:r>
            <w:r>
              <w:rPr>
                <w:rFonts w:ascii="Lato" w:cs="Lato" w:eastAsia="Lato" w:hAnsi="Lato"/>
                <w:b/>
                <w:bCs/>
                <w:color w:val="FF9900"/>
                <w:sz w:val="20"/>
                <w:szCs w:val="20"/>
              </w:rPr>
              <w:t xml:space="preserve">CAD $1,025,000 Indicative</w:t>
            </w:r>
          </w:p>
        </w:tc>
      </w:tr>
      <w:tr>
        <w:tc>
          <w:tcPr>
            <w:tcW w:type="dxa" w:w="9360"/>
            <w:tcBorders>
              <w:top w:val="none" w:color="FFFFFF" w:sz="0"/>
              <w:left w:val="single" w:color="FF9900" w:sz="12"/>
              <w:bottom w:val="single" w:color="cccccc" w:sz="2"/>
              <w:right w:val="none" w:color="FFFFFF" w:sz="0"/>
            </w:tcBorders>
            <w:shd w:fill="F9F9F9" w:val="clear"/>
            <w:tcMar>
              <w:top w:type="dxa" w:w="140"/>
              <w:left w:type="dxa" w:w="200"/>
              <w:bottom w:type="dxa" w:w="160"/>
              <w:right w:type="dxa" w:w="200"/>
            </w:tcMar>
          </w:tcPr>
          <w:p>
            <w:pPr>
              <w:pStyle w:val="ListParagraph"/>
              <w:numPr>
                <w:ilvl w:val="0"/>
                <w:numId w:val="2"/>
              </w:numPr>
              <w:spacing w:before="60" w:after="60"/>
            </w:pPr>
            <w:r>
              <w:rPr>
                <w:rFonts w:ascii="Lato" w:cs="Lato" w:eastAsia="Lato" w:hAnsi="Lato"/>
                <w:color w:val="666666"/>
                <w:sz w:val="21"/>
                <w:szCs w:val="21"/>
              </w:rPr>
              <w:t xml:space="preserve">Sage Intacct implementation: GL, AP, AR, chart of accounts</w:t>
            </w:r>
          </w:p>
          <w:p>
            <w:pPr>
              <w:pStyle w:val="ListParagraph"/>
              <w:numPr>
                <w:ilvl w:val="0"/>
                <w:numId w:val="2"/>
              </w:numPr>
              <w:spacing w:before="60" w:after="60"/>
            </w:pPr>
            <w:r>
              <w:rPr>
                <w:rFonts w:ascii="Lato" w:cs="Lato" w:eastAsia="Lato" w:hAnsi="Lato"/>
                <w:color w:val="666666"/>
                <w:sz w:val="21"/>
                <w:szCs w:val="21"/>
              </w:rPr>
              <w:t xml:space="preserve">Partner marketer billing configuration and automation</w:t>
            </w:r>
          </w:p>
          <w:p>
            <w:pPr>
              <w:pStyle w:val="ListParagraph"/>
              <w:numPr>
                <w:ilvl w:val="0"/>
                <w:numId w:val="2"/>
              </w:numPr>
              <w:spacing w:before="60" w:after="60"/>
            </w:pPr>
            <w:r>
              <w:rPr>
                <w:rFonts w:ascii="Lato" w:cs="Lato" w:eastAsia="Lato" w:hAnsi="Lato"/>
                <w:color w:val="666666"/>
                <w:sz w:val="21"/>
                <w:szCs w:val="21"/>
              </w:rPr>
              <w:t xml:space="preserve">Migration of historical financial data from Sage 50</w:t>
            </w:r>
          </w:p>
          <w:p>
            <w:pPr>
              <w:pStyle w:val="ListParagraph"/>
              <w:numPr>
                <w:ilvl w:val="0"/>
                <w:numId w:val="2"/>
              </w:numPr>
              <w:spacing w:before="60" w:after="60"/>
            </w:pPr>
            <w:r>
              <w:rPr>
                <w:rFonts w:ascii="Lato" w:cs="Lato" w:eastAsia="Lato" w:hAnsi="Lato"/>
                <w:color w:val="666666"/>
                <w:sz w:val="21"/>
                <w:szCs w:val="21"/>
              </w:rPr>
              <w:t xml:space="preserve">Core reporting: financial statements, regulatory reporting, partner billing reconciliation</w:t>
            </w:r>
          </w:p>
          <w:p>
            <w:pPr>
              <w:pStyle w:val="ListParagraph"/>
              <w:numPr>
                <w:ilvl w:val="0"/>
                <w:numId w:val="2"/>
              </w:numPr>
              <w:spacing w:before="60" w:after="60"/>
            </w:pPr>
            <w:r>
              <w:rPr>
                <w:rFonts w:ascii="Lato" w:cs="Lato" w:eastAsia="Lato" w:hAnsi="Lato"/>
                <w:color w:val="666666"/>
                <w:sz w:val="21"/>
                <w:szCs w:val="21"/>
              </w:rPr>
              <w:t xml:space="preserve">Integration with existing operational systems during transition</w:t>
            </w:r>
          </w:p>
          <w:p>
            <w:pPr>
              <w:pStyle w:val="ListParagraph"/>
              <w:numPr>
                <w:ilvl w:val="0"/>
                <w:numId w:val="2"/>
              </w:numPr>
              <w:spacing w:before="60" w:after="60"/>
            </w:pPr>
            <w:r>
              <w:rPr>
                <w:rFonts w:ascii="Lato" w:cs="Lato" w:eastAsia="Lato" w:hAnsi="Lato"/>
                <w:color w:val="666666"/>
                <w:sz w:val="21"/>
                <w:szCs w:val="21"/>
              </w:rPr>
              <w:t xml:space="preserve">User training, documentation, and go-live support</w:t>
            </w:r>
          </w:p>
          <w:p>
            <w:pPr>
              <w:pStyle w:val="ListParagraph"/>
              <w:numPr>
                <w:ilvl w:val="0"/>
                <w:numId w:val="2"/>
              </w:numPr>
              <w:spacing w:before="60" w:after="60"/>
            </w:pPr>
            <w:r>
              <w:rPr>
                <w:rFonts w:ascii="Lato" w:cs="Lato" w:eastAsia="Lato" w:hAnsi="Lato"/>
                <w:color w:val="666666"/>
                <w:sz w:val="21"/>
                <w:szCs w:val="21"/>
              </w:rPr>
              <w:t xml:space="preserve">Hypercare period: 4 weeks of intensive post-launch support</w:t>
            </w:r>
          </w:p>
        </w:tc>
      </w:tr>
    </w:tbl>
    <w:p>
      <w:pP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00" w:sz="16"/>
              <w:left w:val="none" w:color="FFFFFF" w:sz="0"/>
              <w:bottom w:val="none" w:color="FFFFFF" w:sz="0"/>
              <w:right w:val="none" w:color="FFFFFF" w:sz="0"/>
            </w:tcBorders>
            <w:shd w:fill="1b1c1d" w:val="clear"/>
            <w:tcMar>
              <w:top w:type="dxa" w:w="140"/>
              <w:left w:type="dxa" w:w="200"/>
              <w:bottom w:type="dxa" w:w="140"/>
              <w:right w:type="dxa" w:w="200"/>
            </w:tcMar>
          </w:tcPr>
          <w:p>
            <w:pPr>
              <w:spacing w:before="0" w:after="40"/>
            </w:pPr>
            <w:r>
              <w:rPr>
                <w:rFonts w:ascii="Lato" w:cs="Lato" w:eastAsia="Lato" w:hAnsi="Lato"/>
                <w:b/>
                <w:bCs/>
                <w:color w:val="FF9900"/>
                <w:sz w:val="26"/>
                <w:szCs w:val="26"/>
              </w:rPr>
              <w:t xml:space="preserve">Phase 2  </w:t>
            </w:r>
            <w:r>
              <w:rPr>
                <w:rFonts w:ascii="Lato" w:cs="Lato" w:eastAsia="Lato" w:hAnsi="Lato"/>
                <w:b/>
                <w:bCs/>
                <w:color w:val="FFFFFF"/>
                <w:sz w:val="26"/>
                <w:szCs w:val="26"/>
              </w:rPr>
              <w:t xml:space="preserve">CRM &amp; Customer Portal</w:t>
            </w:r>
          </w:p>
          <w:p>
            <w:pPr>
              <w:spacing w:before="0" w:after="0"/>
            </w:pPr>
            <w:r>
              <w:rPr>
                <w:rFonts w:ascii="Lato" w:cs="Lato" w:eastAsia="Lato" w:hAnsi="Lato"/>
                <w:color w:val="cccccc"/>
                <w:sz w:val="20"/>
                <w:szCs w:val="20"/>
              </w:rPr>
              <w:t xml:space="preserve">4–5 Months  ·  </w:t>
            </w:r>
            <w:r>
              <w:rPr>
                <w:rFonts w:ascii="Lato" w:cs="Lato" w:eastAsia="Lato" w:hAnsi="Lato"/>
                <w:b/>
                <w:bCs/>
                <w:color w:val="FF9900"/>
                <w:sz w:val="20"/>
                <w:szCs w:val="20"/>
              </w:rPr>
              <w:t xml:space="preserve">CAD $825,000 Indicative</w:t>
            </w:r>
          </w:p>
        </w:tc>
      </w:tr>
      <w:tr>
        <w:tc>
          <w:tcPr>
            <w:tcW w:type="dxa" w:w="9360"/>
            <w:tcBorders>
              <w:top w:val="none" w:color="FFFFFF" w:sz="0"/>
              <w:left w:val="single" w:color="FF9900" w:sz="12"/>
              <w:bottom w:val="single" w:color="cccccc" w:sz="2"/>
              <w:right w:val="none" w:color="FFFFFF" w:sz="0"/>
            </w:tcBorders>
            <w:shd w:fill="F9F9F9" w:val="clear"/>
            <w:tcMar>
              <w:top w:type="dxa" w:w="140"/>
              <w:left w:type="dxa" w:w="200"/>
              <w:bottom w:type="dxa" w:w="160"/>
              <w:right w:type="dxa" w:w="200"/>
            </w:tcMar>
          </w:tcPr>
          <w:p>
            <w:pPr>
              <w:pStyle w:val="ListParagraph"/>
              <w:numPr>
                <w:ilvl w:val="0"/>
                <w:numId w:val="2"/>
              </w:numPr>
              <w:spacing w:before="60" w:after="60"/>
            </w:pPr>
            <w:r>
              <w:rPr>
                <w:rFonts w:ascii="Lato" w:cs="Lato" w:eastAsia="Lato" w:hAnsi="Lato"/>
                <w:color w:val="666666"/>
                <w:sz w:val="21"/>
                <w:szCs w:val="21"/>
              </w:rPr>
              <w:t xml:space="preserve">Partner marketer-facing portal: self-serve enrollment, rate management, account visibility</w:t>
            </w:r>
          </w:p>
          <w:p>
            <w:pPr>
              <w:pStyle w:val="ListParagraph"/>
              <w:numPr>
                <w:ilvl w:val="0"/>
                <w:numId w:val="2"/>
              </w:numPr>
              <w:spacing w:before="60" w:after="60"/>
            </w:pPr>
            <w:r>
              <w:rPr>
                <w:rFonts w:ascii="Lato" w:cs="Lato" w:eastAsia="Lato" w:hAnsi="Lato"/>
                <w:color w:val="666666"/>
                <w:sz w:val="21"/>
                <w:szCs w:val="21"/>
              </w:rPr>
              <w:t xml:space="preserve">Customer data platform: unified customer records, consumption history, communication preferences</w:t>
            </w:r>
          </w:p>
          <w:p>
            <w:pPr>
              <w:pStyle w:val="ListParagraph"/>
              <w:numPr>
                <w:ilvl w:val="0"/>
                <w:numId w:val="2"/>
              </w:numPr>
              <w:spacing w:before="60" w:after="60"/>
            </w:pPr>
            <w:r>
              <w:rPr>
                <w:rFonts w:ascii="Lato" w:cs="Lato" w:eastAsia="Lato" w:hAnsi="Lato"/>
                <w:color w:val="666666"/>
                <w:sz w:val="21"/>
                <w:szCs w:val="21"/>
              </w:rPr>
              <w:t xml:space="preserve">CRM configuration for partner and direct customer relationship management</w:t>
            </w:r>
          </w:p>
          <w:p>
            <w:pPr>
              <w:pStyle w:val="ListParagraph"/>
              <w:numPr>
                <w:ilvl w:val="0"/>
                <w:numId w:val="2"/>
              </w:numPr>
              <w:spacing w:before="60" w:after="60"/>
            </w:pPr>
            <w:r>
              <w:rPr>
                <w:rFonts w:ascii="Lato" w:cs="Lato" w:eastAsia="Lato" w:hAnsi="Lato"/>
                <w:color w:val="666666"/>
                <w:sz w:val="21"/>
                <w:szCs w:val="21"/>
              </w:rPr>
              <w:t xml:space="preserve">Integration with Phase 1 finance layer for real-time billing visibility</w:t>
            </w:r>
          </w:p>
          <w:p>
            <w:pPr>
              <w:pStyle w:val="ListParagraph"/>
              <w:numPr>
                <w:ilvl w:val="0"/>
                <w:numId w:val="2"/>
              </w:numPr>
              <w:spacing w:before="60" w:after="60"/>
            </w:pPr>
            <w:r>
              <w:rPr>
                <w:rFonts w:ascii="Lato" w:cs="Lato" w:eastAsia="Lato" w:hAnsi="Lato"/>
                <w:color w:val="666666"/>
                <w:sz w:val="21"/>
                <w:szCs w:val="21"/>
              </w:rPr>
              <w:t xml:space="preserve">Customer communication workflows: automated notifications, renewal management</w:t>
            </w:r>
          </w:p>
        </w:tc>
      </w:tr>
    </w:tbl>
    <w:p>
      <w:pP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00" w:sz="16"/>
              <w:left w:val="none" w:color="FFFFFF" w:sz="0"/>
              <w:bottom w:val="none" w:color="FFFFFF" w:sz="0"/>
              <w:right w:val="none" w:color="FFFFFF" w:sz="0"/>
            </w:tcBorders>
            <w:shd w:fill="1b1c1d" w:val="clear"/>
            <w:tcMar>
              <w:top w:type="dxa" w:w="140"/>
              <w:left w:type="dxa" w:w="200"/>
              <w:bottom w:type="dxa" w:w="140"/>
              <w:right w:type="dxa" w:w="200"/>
            </w:tcMar>
          </w:tcPr>
          <w:p>
            <w:pPr>
              <w:spacing w:before="0" w:after="40"/>
            </w:pPr>
            <w:r>
              <w:rPr>
                <w:rFonts w:ascii="Lato" w:cs="Lato" w:eastAsia="Lato" w:hAnsi="Lato"/>
                <w:b/>
                <w:bCs/>
                <w:color w:val="FF9900"/>
                <w:sz w:val="26"/>
                <w:szCs w:val="26"/>
              </w:rPr>
              <w:t xml:space="preserve">Phase 3  </w:t>
            </w:r>
            <w:r>
              <w:rPr>
                <w:rFonts w:ascii="Lato" w:cs="Lato" w:eastAsia="Lato" w:hAnsi="Lato"/>
                <w:b/>
                <w:bCs/>
                <w:color w:val="FFFFFF"/>
                <w:sz w:val="26"/>
                <w:szCs w:val="26"/>
              </w:rPr>
              <w:t xml:space="preserve">Settlements, Integrations &amp; Reporting</w:t>
            </w:r>
          </w:p>
          <w:p>
            <w:pPr>
              <w:spacing w:before="0" w:after="0"/>
            </w:pPr>
            <w:r>
              <w:rPr>
                <w:rFonts w:ascii="Lato" w:cs="Lato" w:eastAsia="Lato" w:hAnsi="Lato"/>
                <w:color w:val="cccccc"/>
                <w:sz w:val="20"/>
                <w:szCs w:val="20"/>
              </w:rPr>
              <w:t xml:space="preserve">4–5 Months  ·  </w:t>
            </w:r>
            <w:r>
              <w:rPr>
                <w:rFonts w:ascii="Lato" w:cs="Lato" w:eastAsia="Lato" w:hAnsi="Lato"/>
                <w:b/>
                <w:bCs/>
                <w:color w:val="FF9900"/>
                <w:sz w:val="20"/>
                <w:szCs w:val="20"/>
              </w:rPr>
              <w:t xml:space="preserve">CAD $720,000 Indicative</w:t>
            </w:r>
          </w:p>
        </w:tc>
      </w:tr>
      <w:tr>
        <w:tc>
          <w:tcPr>
            <w:tcW w:type="dxa" w:w="9360"/>
            <w:tcBorders>
              <w:top w:val="none" w:color="FFFFFF" w:sz="0"/>
              <w:left w:val="single" w:color="FF9900" w:sz="12"/>
              <w:bottom w:val="single" w:color="cccccc" w:sz="2"/>
              <w:right w:val="none" w:color="FFFFFF" w:sz="0"/>
            </w:tcBorders>
            <w:shd w:fill="F9F9F9" w:val="clear"/>
            <w:tcMar>
              <w:top w:type="dxa" w:w="140"/>
              <w:left w:type="dxa" w:w="200"/>
              <w:bottom w:type="dxa" w:w="160"/>
              <w:right w:type="dxa" w:w="200"/>
            </w:tcMar>
          </w:tcPr>
          <w:p>
            <w:pPr>
              <w:pStyle w:val="ListParagraph"/>
              <w:numPr>
                <w:ilvl w:val="0"/>
                <w:numId w:val="2"/>
              </w:numPr>
              <w:spacing w:before="60" w:after="60"/>
            </w:pPr>
            <w:r>
              <w:rPr>
                <w:rFonts w:ascii="Lato" w:cs="Lato" w:eastAsia="Lato" w:hAnsi="Lato"/>
                <w:color w:val="666666"/>
                <w:sz w:val="21"/>
                <w:szCs w:val="21"/>
              </w:rPr>
              <w:t xml:space="preserve">Energy data feed integrations: consumption data, market pricing, settlement inputs</w:t>
            </w:r>
          </w:p>
          <w:p>
            <w:pPr>
              <w:pStyle w:val="ListParagraph"/>
              <w:numPr>
                <w:ilvl w:val="0"/>
                <w:numId w:val="2"/>
              </w:numPr>
              <w:spacing w:before="60" w:after="60"/>
            </w:pPr>
            <w:r>
              <w:rPr>
                <w:rFonts w:ascii="Lato" w:cs="Lato" w:eastAsia="Lato" w:hAnsi="Lato"/>
                <w:color w:val="666666"/>
                <w:sz w:val="21"/>
                <w:szCs w:val="21"/>
              </w:rPr>
              <w:t xml:space="preserve">Automated settlement reconciliation with partner marketers</w:t>
            </w:r>
          </w:p>
          <w:p>
            <w:pPr>
              <w:pStyle w:val="ListParagraph"/>
              <w:numPr>
                <w:ilvl w:val="0"/>
                <w:numId w:val="2"/>
              </w:numPr>
              <w:spacing w:before="60" w:after="60"/>
            </w:pPr>
            <w:r>
              <w:rPr>
                <w:rFonts w:ascii="Lato" w:cs="Lato" w:eastAsia="Lato" w:hAnsi="Lato"/>
                <w:color w:val="666666"/>
                <w:sz w:val="21"/>
                <w:szCs w:val="21"/>
              </w:rPr>
              <w:t xml:space="preserve">Alberta regulatory reporting automation</w:t>
            </w:r>
          </w:p>
          <w:p>
            <w:pPr>
              <w:pStyle w:val="ListParagraph"/>
              <w:numPr>
                <w:ilvl w:val="0"/>
                <w:numId w:val="2"/>
              </w:numPr>
              <w:spacing w:before="60" w:after="60"/>
            </w:pPr>
            <w:r>
              <w:rPr>
                <w:rFonts w:ascii="Lato" w:cs="Lato" w:eastAsia="Lato" w:hAnsi="Lato"/>
                <w:color w:val="666666"/>
                <w:sz w:val="21"/>
                <w:szCs w:val="21"/>
              </w:rPr>
              <w:t xml:space="preserve">Advanced analytics and reporting layer: executive dashboards, operational KPIs</w:t>
            </w:r>
          </w:p>
          <w:p>
            <w:pPr>
              <w:pStyle w:val="ListParagraph"/>
              <w:numPr>
                <w:ilvl w:val="0"/>
                <w:numId w:val="2"/>
              </w:numPr>
              <w:spacing w:before="60" w:after="60"/>
            </w:pPr>
            <w:r>
              <w:rPr>
                <w:rFonts w:ascii="Lato" w:cs="Lato" w:eastAsia="Lato" w:hAnsi="Lato"/>
                <w:color w:val="666666"/>
                <w:sz w:val="21"/>
                <w:szCs w:val="21"/>
              </w:rPr>
              <w:t xml:space="preserve">Full system integration testing and performance validation</w:t>
            </w:r>
          </w:p>
          <w:p>
            <w:pPr>
              <w:pStyle w:val="ListParagraph"/>
              <w:numPr>
                <w:ilvl w:val="0"/>
                <w:numId w:val="2"/>
              </w:numPr>
              <w:spacing w:before="60" w:after="60"/>
            </w:pPr>
            <w:r>
              <w:rPr>
                <w:rFonts w:ascii="Lato" w:cs="Lato" w:eastAsia="Lato" w:hAnsi="Lato"/>
                <w:color w:val="666666"/>
                <w:sz w:val="21"/>
                <w:szCs w:val="21"/>
              </w:rPr>
              <w:t xml:space="preserve">Final knowledge transfer and operational handoff</w:t>
            </w:r>
          </w:p>
        </w:tc>
      </w:tr>
    </w:tbl>
    <w:p>
      <w:pPr>
        <w:spacing w:before="0" w:after="400"/>
      </w:pPr>
      <w:r>
        <w:t xml:space="preserve"/>
      </w:r>
    </w:p>
    <w:p>
      <w:pPr>
        <w:spacing w:before="480" w:after="80"/>
      </w:pPr>
      <w:r>
        <w:rPr>
          <w:rFonts w:ascii="Lato" w:cs="Lato" w:eastAsia="Lato" w:hAnsi="Lato"/>
          <w:b/>
          <w:bCs/>
          <w:color w:val="FF9900"/>
          <w:sz w:val="24"/>
          <w:szCs w:val="24"/>
        </w:rPr>
        <w:t xml:space="preserve">— </w:t>
      </w:r>
      <w:r>
        <w:rPr>
          <w:rFonts w:ascii="Lato" w:cs="Lato" w:eastAsia="Lato" w:hAnsi="Lato"/>
          <w:b/>
          <w:bCs/>
          <w:color w:val="1b1c1d"/>
          <w:spacing w:val="40"/>
          <w:sz w:val="24"/>
          <w:szCs w:val="24"/>
        </w:rPr>
        <w:t xml:space="preserve">MANAGED SERVICES — ONGOING OPERATIONS</w:t>
      </w:r>
    </w:p>
    <w:p>
      <w:pPr>
        <w:pBdr>
          <w:bottom w:val="single" w:color="FF9900" w:sz="4" w:space="4"/>
        </w:pBdr>
        <w:spacing w:before="0" w:after="240"/>
      </w:pPr>
      <w:r>
        <w:t xml:space="preserve"/>
      </w:r>
    </w:p>
    <w:p>
      <w:pPr>
        <w:spacing w:before="0" w:after="120"/>
        <w:contextualSpacing w:val="false"/>
      </w:pPr>
      <w:r>
        <w:rPr>
          <w:rFonts w:ascii="Lato" w:cs="Lato" w:eastAsia="Lato" w:hAnsi="Lato"/>
          <w:color w:val="666666"/>
          <w:sz w:val="22"/>
          <w:szCs w:val="22"/>
        </w:rPr>
        <w:t xml:space="preserve">UTILITYnet has indicated a preference for full vendor-managed operations post-go-live. We will own it. Our managed services engagement covers the complete ongoing operational lifecycle — not a reactive help desk, but a proactive operational partner.</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1c1d" w:val="clear"/>
            <w:tcMar>
              <w:top w:type="dxa" w:w="100"/>
              <w:left w:type="dxa" w:w="140"/>
              <w:bottom w:type="dxa" w:w="100"/>
              <w:right w:type="dxa" w:w="140"/>
            </w:tcMar>
          </w:tcPr>
          <w:p>
            <w:r>
              <w:rPr>
                <w:rFonts w:ascii="Lato" w:cs="Lato" w:eastAsia="Lato" w:hAnsi="Lato"/>
                <w:b/>
                <w:bCs/>
                <w:color w:val="FFFFFF"/>
                <w:sz w:val="20"/>
                <w:szCs w:val="20"/>
              </w:rPr>
              <w:t xml:space="preserve">Service</w:t>
            </w:r>
          </w:p>
        </w:tc>
        <w:tc>
          <w:tcPr>
            <w:tcW w:type="dxa" w:w="4680"/>
            <w:tcBorders>
              <w:top w:val="single" w:color="cccccc" w:sz="1"/>
              <w:left w:val="single" w:color="cccccc" w:sz="1"/>
              <w:bottom w:val="single" w:color="cccccc" w:sz="1"/>
              <w:right w:val="single" w:color="cccccc" w:sz="1"/>
            </w:tcBorders>
            <w:shd w:fill="1b1c1d" w:val="clear"/>
            <w:tcMar>
              <w:top w:type="dxa" w:w="100"/>
              <w:left w:type="dxa" w:w="140"/>
              <w:bottom w:type="dxa" w:w="100"/>
              <w:right w:type="dxa" w:w="140"/>
            </w:tcMar>
          </w:tcPr>
          <w:p>
            <w:r>
              <w:rPr>
                <w:rFonts w:ascii="Lato" w:cs="Lato" w:eastAsia="Lato" w:hAnsi="Lato"/>
                <w:b/>
                <w:bCs/>
                <w:color w:val="FFFFFF"/>
                <w:sz w:val="20"/>
                <w:szCs w:val="20"/>
              </w:rPr>
              <w:t xml:space="preserve">Included</w:t>
            </w:r>
          </w:p>
        </w:tc>
      </w:tr>
      <w:tr>
        <w:tc>
          <w:tcPr>
            <w:tcW w:type="dxa" w:w="46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bCs/>
                <w:color w:val="303030"/>
                <w:sz w:val="20"/>
                <w:szCs w:val="20"/>
              </w:rPr>
              <w:t xml:space="preserve">Help Desk &amp; User Support</w:t>
            </w:r>
          </w:p>
        </w:tc>
        <w:tc>
          <w:tcPr>
            <w:tcW w:type="dxa" w:w="46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Tier 1–3, business hours + critical 24/7</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bCs/>
                <w:color w:val="303030"/>
                <w:sz w:val="20"/>
                <w:szCs w:val="20"/>
              </w:rPr>
              <w:t xml:space="preserve">Platform Releases &amp; Upgrades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Managed and deployed by Gnar, no client effort required</w:t>
            </w:r>
          </w:p>
        </w:tc>
      </w:tr>
      <w:tr>
        <w:tc>
          <w:tcPr>
            <w:tcW w:type="dxa" w:w="46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bCs/>
                <w:color w:val="303030"/>
                <w:sz w:val="20"/>
                <w:szCs w:val="20"/>
              </w:rPr>
              <w:t xml:space="preserve">Integration Monitoring &amp; Maintenance</w:t>
            </w:r>
          </w:p>
        </w:tc>
        <w:tc>
          <w:tcPr>
            <w:tcW w:type="dxa" w:w="46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All energy feeds, Sage Intacct, partner systems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bCs/>
                <w:color w:val="303030"/>
                <w:sz w:val="20"/>
                <w:szCs w:val="20"/>
              </w:rPr>
              <w:t xml:space="preserve">Bug Fixes &amp; Stability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Defect resolution within agreed SLA tiers</w:t>
            </w:r>
          </w:p>
        </w:tc>
      </w:tr>
      <w:tr>
        <w:tc>
          <w:tcPr>
            <w:tcW w:type="dxa" w:w="46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bCs/>
                <w:color w:val="303030"/>
                <w:sz w:val="20"/>
                <w:szCs w:val="20"/>
              </w:rPr>
              <w:t xml:space="preserve">Regulatory Reporting Execution</w:t>
            </w:r>
          </w:p>
        </w:tc>
        <w:tc>
          <w:tcPr>
            <w:tcW w:type="dxa" w:w="46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Alberta compliance report generation and submission support</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bCs/>
                <w:color w:val="303030"/>
                <w:sz w:val="20"/>
                <w:szCs w:val="20"/>
              </w:rPr>
              <w:t xml:space="preserve">New Features &amp; Enhancements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Scoped separately via addendum — not included in retainer</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80"/>
        <w:gridCol w:w="2280"/>
      </w:tblGrid>
      <w:tr>
        <w:tc>
          <w:tcPr>
            <w:tcW w:type="dxa" w:w="7080"/>
            <w:tcBorders>
              <w:top w:val="single" w:color="cccccc" w:sz="1"/>
              <w:left w:val="single" w:color="cccccc" w:sz="1"/>
              <w:bottom w:val="single" w:color="cccccc" w:sz="1"/>
              <w:right w:val="single" w:color="cccccc" w:sz="1"/>
            </w:tcBorders>
            <w:shd w:fill="1b1c1d" w:val="clear"/>
            <w:tcMar>
              <w:top w:type="dxa" w:w="120"/>
              <w:left w:type="dxa" w:w="140"/>
              <w:bottom w:type="dxa" w:w="120"/>
              <w:right w:type="dxa" w:w="140"/>
            </w:tcMar>
          </w:tcPr>
          <w:p>
            <w:r>
              <w:rPr>
                <w:rFonts w:ascii="Lato" w:cs="Lato" w:eastAsia="Lato" w:hAnsi="Lato"/>
                <w:b/>
                <w:bCs/>
                <w:color w:val="FFFFFF"/>
                <w:sz w:val="22"/>
                <w:szCs w:val="22"/>
              </w:rPr>
              <w:t xml:space="preserve">Managed Services — Monthly Retainer (post-go-live, annual contract)</w:t>
            </w:r>
          </w:p>
        </w:tc>
        <w:tc>
          <w:tcPr>
            <w:tcW w:type="dxa" w:w="2280"/>
            <w:tcBorders>
              <w:top w:val="single" w:color="cccccc" w:sz="1"/>
              <w:left w:val="single" w:color="cccccc" w:sz="1"/>
              <w:bottom w:val="single" w:color="cccccc" w:sz="1"/>
              <w:right w:val="single" w:color="cccccc" w:sz="1"/>
            </w:tcBorders>
            <w:shd w:fill="FF9900" w:val="clear"/>
            <w:tcMar>
              <w:top w:type="dxa" w:w="120"/>
              <w:left w:type="dxa" w:w="140"/>
              <w:bottom w:type="dxa" w:w="120"/>
              <w:right w:type="dxa" w:w="140"/>
            </w:tcMar>
          </w:tcPr>
          <w:p>
            <w:r>
              <w:rPr>
                <w:rFonts w:ascii="Lato" w:cs="Lato" w:eastAsia="Lato" w:hAnsi="Lato"/>
                <w:b/>
                <w:bCs/>
                <w:color w:val="FFFFFF"/>
                <w:sz w:val="24"/>
                <w:szCs w:val="24"/>
              </w:rPr>
              <w:t xml:space="preserve">CAD $41,000/month</w:t>
            </w:r>
          </w:p>
        </w:tc>
      </w:tr>
    </w:tbl>
    <w:p>
      <w:pPr>
        <w:spacing w:before="0" w:after="400"/>
      </w:pPr>
      <w:r>
        <w:t xml:space="preserve"/>
      </w:r>
    </w:p>
    <w:p>
      <w:pPr>
        <w:spacing w:before="480" w:after="80"/>
      </w:pPr>
      <w:r>
        <w:rPr>
          <w:rFonts w:ascii="Lato" w:cs="Lato" w:eastAsia="Lato" w:hAnsi="Lato"/>
          <w:b/>
          <w:bCs/>
          <w:color w:val="FF9900"/>
          <w:sz w:val="24"/>
          <w:szCs w:val="24"/>
        </w:rPr>
        <w:t xml:space="preserve">— </w:t>
      </w:r>
      <w:r>
        <w:rPr>
          <w:rFonts w:ascii="Lato" w:cs="Lato" w:eastAsia="Lato" w:hAnsi="Lato"/>
          <w:b/>
          <w:bCs/>
          <w:color w:val="1b1c1d"/>
          <w:spacing w:val="40"/>
          <w:sz w:val="24"/>
          <w:szCs w:val="24"/>
        </w:rPr>
        <w:t xml:space="preserve">COMMERCIAL STRUCTURE &amp; PRICING</w:t>
      </w:r>
    </w:p>
    <w:p>
      <w:pPr>
        <w:pBdr>
          <w:bottom w:val="single" w:color="FF9900" w:sz="4" w:space="4"/>
        </w:pBdr>
        <w:spacing w:before="0" w:after="240"/>
      </w:pPr>
      <w:r>
        <w:t xml:space="preserve"/>
      </w:r>
    </w:p>
    <w:p>
      <w:pPr>
        <w:spacing w:before="0" w:after="120"/>
        <w:contextualSpacing w:val="false"/>
      </w:pPr>
      <w:r>
        <w:rPr>
          <w:rFonts w:ascii="Lato" w:cs="Lato" w:eastAsia="Lato" w:hAnsi="Lato"/>
          <w:color w:val="666666"/>
          <w:sz w:val="22"/>
          <w:szCs w:val="22"/>
        </w:rPr>
        <w:t xml:space="preserve">We propose a Master Services Agreement (MSA) governing the overall engagement, with individual Statements of Work (SOWs) for each phase. This provides contractual clarity at each gate while allowing the program to adapt as requirements are validated through Discovery.</w:t>
      </w:r>
    </w:p>
    <w:p>
      <w:pPr>
        <w:spacing w:before="0" w:after="280"/>
      </w:pPr>
      <w:r>
        <w:t xml:space="preserve"/>
      </w:r>
    </w:p>
    <w:p>
      <w:pPr>
        <w:spacing w:before="280" w:after="100"/>
      </w:pPr>
      <w:r>
        <w:rPr>
          <w:rFonts w:ascii="Lato" w:cs="Lato" w:eastAsia="Lato" w:hAnsi="Lato"/>
          <w:b/>
          <w:bCs/>
          <w:color w:val="303030"/>
          <w:sz w:val="24"/>
          <w:szCs w:val="24"/>
        </w:rPr>
        <w:t xml:space="preserve">Phase Investment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1080"/>
        <w:gridCol w:w="1080"/>
      </w:tblGrid>
      <w:tr>
        <w:tc>
          <w:tcPr>
            <w:tcW w:type="dxa" w:w="2800"/>
            <w:tcBorders>
              <w:top w:val="single" w:color="cccccc" w:sz="1"/>
              <w:left w:val="single" w:color="cccccc" w:sz="1"/>
              <w:bottom w:val="single" w:color="cccccc" w:sz="1"/>
              <w:right w:val="single" w:color="cccccc" w:sz="1"/>
            </w:tcBorders>
            <w:shd w:fill="1b1c1d" w:val="clear"/>
            <w:tcMar>
              <w:top w:type="dxa" w:w="100"/>
              <w:left w:type="dxa" w:w="140"/>
              <w:bottom w:type="dxa" w:w="100"/>
              <w:right w:type="dxa" w:w="140"/>
            </w:tcMar>
          </w:tcPr>
          <w:p>
            <w:r>
              <w:rPr>
                <w:rFonts w:ascii="Lato" w:cs="Lato" w:eastAsia="Lato" w:hAnsi="Lato"/>
                <w:b/>
                <w:bCs/>
                <w:color w:val="FFFFFF"/>
                <w:sz w:val="20"/>
                <w:szCs w:val="20"/>
              </w:rPr>
              <w:t xml:space="preserve">Phase</w:t>
            </w:r>
          </w:p>
        </w:tc>
        <w:tc>
          <w:tcPr>
            <w:tcW w:type="dxa" w:w="4400"/>
            <w:tcBorders>
              <w:top w:val="single" w:color="cccccc" w:sz="1"/>
              <w:left w:val="single" w:color="cccccc" w:sz="1"/>
              <w:bottom w:val="single" w:color="cccccc" w:sz="1"/>
              <w:right w:val="single" w:color="cccccc" w:sz="1"/>
            </w:tcBorders>
            <w:shd w:fill="1b1c1d" w:val="clear"/>
            <w:tcMar>
              <w:top w:type="dxa" w:w="100"/>
              <w:left w:type="dxa" w:w="140"/>
              <w:bottom w:type="dxa" w:w="100"/>
              <w:right w:type="dxa" w:w="140"/>
            </w:tcMar>
          </w:tcPr>
          <w:p>
            <w:r>
              <w:rPr>
                <w:rFonts w:ascii="Lato" w:cs="Lato" w:eastAsia="Lato" w:hAnsi="Lato"/>
                <w:b/>
                <w:bCs/>
                <w:color w:val="FFFFFF"/>
                <w:sz w:val="20"/>
                <w:szCs w:val="20"/>
              </w:rPr>
              <w:t xml:space="preserve">Scope</w:t>
            </w:r>
          </w:p>
        </w:tc>
        <w:tc>
          <w:tcPr>
            <w:tcW w:type="dxa" w:w="1080"/>
            <w:tcBorders>
              <w:top w:val="single" w:color="cccccc" w:sz="1"/>
              <w:left w:val="single" w:color="cccccc" w:sz="1"/>
              <w:bottom w:val="single" w:color="cccccc" w:sz="1"/>
              <w:right w:val="single" w:color="cccccc" w:sz="1"/>
            </w:tcBorders>
            <w:shd w:fill="1b1c1d" w:val="clear"/>
            <w:tcMar>
              <w:top w:type="dxa" w:w="100"/>
              <w:left w:type="dxa" w:w="140"/>
              <w:bottom w:type="dxa" w:w="100"/>
              <w:right w:type="dxa" w:w="140"/>
            </w:tcMar>
          </w:tcPr>
          <w:p>
            <w:r>
              <w:rPr>
                <w:rFonts w:ascii="Lato" w:cs="Lato" w:eastAsia="Lato" w:hAnsi="Lato"/>
                <w:b/>
                <w:bCs/>
                <w:color w:val="FFFFFF"/>
                <w:sz w:val="20"/>
                <w:szCs w:val="20"/>
              </w:rPr>
              <w:t xml:space="preserve">Timeline</w:t>
            </w:r>
          </w:p>
        </w:tc>
        <w:tc>
          <w:tcPr>
            <w:tcW w:type="dxa" w:w="1080"/>
            <w:tcBorders>
              <w:top w:val="single" w:color="cccccc" w:sz="1"/>
              <w:left w:val="single" w:color="cccccc" w:sz="1"/>
              <w:bottom w:val="single" w:color="cccccc" w:sz="1"/>
              <w:right w:val="single" w:color="cccccc" w:sz="1"/>
            </w:tcBorders>
            <w:shd w:fill="1b1c1d" w:val="clear"/>
            <w:tcMar>
              <w:top w:type="dxa" w:w="100"/>
              <w:left w:type="dxa" w:w="140"/>
              <w:bottom w:type="dxa" w:w="100"/>
              <w:right w:type="dxa" w:w="140"/>
            </w:tcMar>
          </w:tcPr>
          <w:p>
            <w:r>
              <w:rPr>
                <w:rFonts w:ascii="Lato" w:cs="Lato" w:eastAsia="Lato" w:hAnsi="Lato"/>
                <w:b/>
                <w:bCs/>
                <w:color w:val="FFFFFF"/>
                <w:sz w:val="20"/>
                <w:szCs w:val="20"/>
              </w:rPr>
              <w:t xml:space="preserve">Price</w:t>
            </w:r>
          </w:p>
        </w:tc>
      </w:tr>
      <w:tr>
        <w:tc>
          <w:tcPr>
            <w:tcW w:type="dxa" w:w="280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bCs/>
                <w:color w:val="303030"/>
                <w:sz w:val="20"/>
                <w:szCs w:val="20"/>
              </w:rPr>
              <w:t xml:space="preserve">Phase 0 — Discovery</w:t>
            </w:r>
          </w:p>
        </w:tc>
        <w:tc>
          <w:tcPr>
            <w:tcW w:type="dxa" w:w="440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Requirements, architecture, migration playbook, Phase 1 SOW</w:t>
            </w:r>
          </w:p>
        </w:tc>
        <w:tc>
          <w:tcPr>
            <w:tcW w:type="dxa" w:w="10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8–10 wks</w:t>
            </w:r>
          </w:p>
        </w:tc>
        <w:tc>
          <w:tcPr>
            <w:tcW w:type="dxa" w:w="10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CAD $310,000</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bCs/>
                <w:color w:val="303030"/>
                <w:sz w:val="20"/>
                <w:szCs w:val="20"/>
              </w:rPr>
              <w:t xml:space="preserve">Phase 1 — Core Finance</w:t>
            </w:r>
          </w:p>
        </w:tc>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GL, AP/AR, billing, partner marketer integration, data migration</w:t>
            </w:r>
          </w:p>
        </w:tc>
        <w:tc>
          <w:tcPr>
            <w:tcW w:type="dxa" w:w="1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5–6 mo</w:t>
            </w:r>
          </w:p>
        </w:tc>
        <w:tc>
          <w:tcPr>
            <w:tcW w:type="dxa" w:w="1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CAD $1,025,000*</w:t>
            </w:r>
          </w:p>
        </w:tc>
      </w:tr>
      <w:tr>
        <w:tc>
          <w:tcPr>
            <w:tcW w:type="dxa" w:w="280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bCs/>
                <w:color w:val="303030"/>
                <w:sz w:val="20"/>
                <w:szCs w:val="20"/>
              </w:rPr>
              <w:t xml:space="preserve">Phase 2 — CRM &amp; Portal</w:t>
            </w:r>
          </w:p>
        </w:tc>
        <w:tc>
          <w:tcPr>
            <w:tcW w:type="dxa" w:w="440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Partner portal, customer data platform, CRM, billing integration</w:t>
            </w:r>
          </w:p>
        </w:tc>
        <w:tc>
          <w:tcPr>
            <w:tcW w:type="dxa" w:w="10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4–5 mo</w:t>
            </w:r>
          </w:p>
        </w:tc>
        <w:tc>
          <w:tcPr>
            <w:tcW w:type="dxa" w:w="10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CAD $825,000*</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bCs/>
                <w:color w:val="303030"/>
                <w:sz w:val="20"/>
                <w:szCs w:val="20"/>
              </w:rPr>
              <w:t xml:space="preserve">Phase 3 — Settlements</w:t>
            </w:r>
          </w:p>
        </w:tc>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Energy feeds, reconciliation, regulatory reporting, analytics</w:t>
            </w:r>
          </w:p>
        </w:tc>
        <w:tc>
          <w:tcPr>
            <w:tcW w:type="dxa" w:w="1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4–5 mo</w:t>
            </w:r>
          </w:p>
        </w:tc>
        <w:tc>
          <w:tcPr>
            <w:tcW w:type="dxa" w:w="10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CAD $720,000*</w:t>
            </w:r>
          </w:p>
        </w:tc>
      </w:tr>
      <w:tr>
        <w:tc>
          <w:tcPr>
            <w:tcW w:type="dxa" w:w="280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bCs/>
                <w:color w:val="303030"/>
                <w:sz w:val="20"/>
                <w:szCs w:val="20"/>
              </w:rPr>
              <w:t xml:space="preserve">Managed Services</w:t>
            </w:r>
          </w:p>
        </w:tc>
        <w:tc>
          <w:tcPr>
            <w:tcW w:type="dxa" w:w="440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Full ongoing operations post-go-live (annual contract, renewal)</w:t>
            </w:r>
          </w:p>
        </w:tc>
        <w:tc>
          <w:tcPr>
            <w:tcW w:type="dxa" w:w="10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Ongoing</w:t>
            </w:r>
          </w:p>
        </w:tc>
        <w:tc>
          <w:tcPr>
            <w:tcW w:type="dxa" w:w="108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CAD $41,000/mo</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80"/>
        <w:gridCol w:w="2280"/>
      </w:tblGrid>
      <w:tr>
        <w:tc>
          <w:tcPr>
            <w:tcW w:type="dxa" w:w="7080"/>
            <w:tcBorders>
              <w:top w:val="single" w:color="cccccc" w:sz="1"/>
              <w:left w:val="single" w:color="cccccc" w:sz="1"/>
              <w:bottom w:val="single" w:color="cccccc" w:sz="1"/>
              <w:right w:val="single" w:color="cccccc" w:sz="1"/>
            </w:tcBorders>
            <w:shd w:fill="1b1c1d" w:val="clear"/>
            <w:tcMar>
              <w:top w:type="dxa" w:w="120"/>
              <w:left w:type="dxa" w:w="140"/>
              <w:bottom w:type="dxa" w:w="120"/>
              <w:right w:type="dxa" w:w="140"/>
            </w:tcMar>
          </w:tcPr>
          <w:p>
            <w:r>
              <w:rPr>
                <w:rFonts w:ascii="Lato" w:cs="Lato" w:eastAsia="Lato" w:hAnsi="Lato"/>
                <w:b/>
                <w:bCs/>
                <w:color w:val="FFFFFF"/>
                <w:sz w:val="22"/>
                <w:szCs w:val="22"/>
              </w:rPr>
              <w:t xml:space="preserve">Total Indicative Program Value — 3 Years (Implementation + Managed Services)</w:t>
            </w:r>
          </w:p>
        </w:tc>
        <w:tc>
          <w:tcPr>
            <w:tcW w:type="dxa" w:w="2280"/>
            <w:tcBorders>
              <w:top w:val="single" w:color="cccccc" w:sz="1"/>
              <w:left w:val="single" w:color="cccccc" w:sz="1"/>
              <w:bottom w:val="single" w:color="cccccc" w:sz="1"/>
              <w:right w:val="single" w:color="cccccc" w:sz="1"/>
            </w:tcBorders>
            <w:shd w:fill="FF9900" w:val="clear"/>
            <w:tcMar>
              <w:top w:type="dxa" w:w="120"/>
              <w:left w:type="dxa" w:w="140"/>
              <w:bottom w:type="dxa" w:w="120"/>
              <w:right w:type="dxa" w:w="140"/>
            </w:tcMar>
          </w:tcPr>
          <w:p>
            <w:r>
              <w:rPr>
                <w:rFonts w:ascii="Lato" w:cs="Lato" w:eastAsia="Lato" w:hAnsi="Lato"/>
                <w:b/>
                <w:bCs/>
                <w:color w:val="FFFFFF"/>
                <w:sz w:val="24"/>
                <w:szCs w:val="24"/>
              </w:rPr>
              <w:t xml:space="preserve">~CAD $4.4M</w:t>
            </w:r>
          </w:p>
        </w:tc>
      </w:tr>
    </w:tbl>
    <w:p>
      <w:pPr>
        <w:spacing w:before="0" w:after="160"/>
      </w:pPr>
      <w:r>
        <w:t xml:space="preserve"/>
      </w:r>
    </w:p>
    <w:p>
      <w:pPr>
        <w:spacing w:before="0" w:after="120"/>
        <w:contextualSpacing w:val="false"/>
      </w:pPr>
      <w:r>
        <w:rPr>
          <w:rFonts w:ascii="Lato" w:cs="Lato" w:eastAsia="Lato" w:hAnsi="Lato"/>
          <w:i/>
          <w:iCs/>
          <w:color w:val="cccccc"/>
          <w:sz w:val="22"/>
          <w:szCs w:val="22"/>
        </w:rPr>
        <w:t xml:space="preserve">All prices are in Canadian dollars (CAD). * Phase 1–3 pricing is indicative. Final fixed-price commitments issued following Discovery. Indicative pricing carries a variance of ±15–20% based on scope confirmation. Exchange rate basis: 1 USD = 1.37 CAD (February 2026).</w:t>
      </w:r>
    </w:p>
    <w:p>
      <w:pP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FF99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efefef" w:val="clear"/>
            <w:tcMar>
              <w:top w:type="dxa" w:w="160"/>
              <w:left w:type="dxa" w:w="220"/>
              <w:bottom w:type="dxa" w:w="160"/>
              <w:right w:type="dxa" w:w="220"/>
            </w:tcMar>
          </w:tcPr>
          <w:p>
            <w:pPr>
              <w:spacing w:before="0" w:after="60"/>
            </w:pPr>
            <w:r>
              <w:rPr>
                <w:rFonts w:ascii="Lato" w:cs="Lato" w:eastAsia="Lato" w:hAnsi="Lato"/>
                <w:b/>
                <w:bCs/>
                <w:color w:val="303030"/>
                <w:sz w:val="22"/>
                <w:szCs w:val="22"/>
              </w:rPr>
              <w:t xml:space="preserve">Why Fixed-Price Matters to You</w:t>
            </w:r>
          </w:p>
          <w:p>
            <w:pPr>
              <w:spacing w:before="0" w:after="0"/>
            </w:pPr>
            <w:r>
              <w:rPr>
                <w:rFonts w:ascii="Lato" w:cs="Lato" w:eastAsia="Lato" w:hAnsi="Lato"/>
                <w:color w:val="666666"/>
                <w:sz w:val="22"/>
                <w:szCs w:val="22"/>
              </w:rPr>
              <w:t xml:space="preserve">Time-and-materials engagements transfer all delivery risk to the client. Every delay becomes your invoice. We operate fixed-price because we are confident in our estimates and accountable to our commitments. If we underestimate, we absorb it.</w:t>
            </w:r>
          </w:p>
        </w:tc>
      </w:tr>
    </w:tbl>
    <w:p>
      <w:pPr>
        <w:spacing w:before="0" w:after="400"/>
      </w:pPr>
      <w:r>
        <w:t xml:space="preserve"/>
      </w:r>
    </w:p>
    <w:p>
      <w:pPr>
        <w:spacing w:before="480" w:after="80"/>
      </w:pPr>
      <w:r>
        <w:rPr>
          <w:rFonts w:ascii="Lato" w:cs="Lato" w:eastAsia="Lato" w:hAnsi="Lato"/>
          <w:b/>
          <w:bCs/>
          <w:color w:val="FF9900"/>
          <w:sz w:val="24"/>
          <w:szCs w:val="24"/>
        </w:rPr>
        <w:t xml:space="preserve">— </w:t>
      </w:r>
      <w:r>
        <w:rPr>
          <w:rFonts w:ascii="Lato" w:cs="Lato" w:eastAsia="Lato" w:hAnsi="Lato"/>
          <w:b/>
          <w:bCs/>
          <w:color w:val="1b1c1d"/>
          <w:spacing w:val="40"/>
          <w:sz w:val="24"/>
          <w:szCs w:val="24"/>
        </w:rPr>
        <w:t xml:space="preserve">OUR TEAM</w:t>
      </w:r>
    </w:p>
    <w:p>
      <w:pPr>
        <w:pBdr>
          <w:bottom w:val="single" w:color="FF9900" w:sz="4" w:space="4"/>
        </w:pBdr>
        <w:spacing w:before="0" w:after="240"/>
      </w:pPr>
      <w:r>
        <w:t xml:space="preserve"/>
      </w:r>
    </w:p>
    <w:p>
      <w:pPr>
        <w:spacing w:before="0" w:after="120"/>
        <w:contextualSpacing w:val="false"/>
      </w:pPr>
      <w:r>
        <w:rPr>
          <w:rFonts w:ascii="Lato" w:cs="Lato" w:eastAsia="Lato" w:hAnsi="Lato"/>
          <w:color w:val="666666"/>
          <w:sz w:val="22"/>
          <w:szCs w:val="22"/>
        </w:rPr>
        <w:t xml:space="preserve">The Gnar Company is a Boston-based custom software and engineering firm with deep experience delivering complex, custom-built platforms for mid-market and enterprise clients. We build what clients actually need — on time, on budget, and owned by the client at go-live.</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200" w:after="80"/>
            </w:pPr>
            <w:r>
              <w:rPr>
                <w:rFonts w:ascii="Lato" w:cs="Lato" w:eastAsia="Lato" w:hAnsi="Lato"/>
                <w:b/>
                <w:bCs/>
                <w:color w:val="666666"/>
                <w:sz w:val="22"/>
                <w:szCs w:val="22"/>
              </w:rPr>
              <w:t xml:space="preserve">Core Competencies</w:t>
            </w:r>
          </w:p>
          <w:p>
            <w:pPr>
              <w:pStyle w:val="ListParagraph"/>
              <w:numPr>
                <w:ilvl w:val="0"/>
                <w:numId w:val="2"/>
              </w:numPr>
              <w:spacing w:before="60" w:after="60"/>
            </w:pPr>
            <w:r>
              <w:rPr>
                <w:rFonts w:ascii="Lato" w:cs="Lato" w:eastAsia="Lato" w:hAnsi="Lato"/>
                <w:color w:val="666666"/>
                <w:sz w:val="22"/>
                <w:szCs w:val="22"/>
              </w:rPr>
              <w:t xml:space="preserve">Custom platform architecture and development</w:t>
            </w:r>
          </w:p>
          <w:p>
            <w:pPr>
              <w:pStyle w:val="ListParagraph"/>
              <w:numPr>
                <w:ilvl w:val="0"/>
                <w:numId w:val="2"/>
              </w:numPr>
              <w:spacing w:before="60" w:after="60"/>
            </w:pPr>
            <w:r>
              <w:rPr>
                <w:rFonts w:ascii="Lato" w:cs="Lato" w:eastAsia="Lato" w:hAnsi="Lato"/>
                <w:color w:val="666666"/>
                <w:sz w:val="22"/>
                <w:szCs w:val="22"/>
              </w:rPr>
              <w:t xml:space="preserve">Complex systems integration and data migration</w:t>
            </w:r>
          </w:p>
          <w:p>
            <w:pPr>
              <w:pStyle w:val="ListParagraph"/>
              <w:numPr>
                <w:ilvl w:val="0"/>
                <w:numId w:val="2"/>
              </w:numPr>
              <w:spacing w:before="60" w:after="60"/>
            </w:pPr>
            <w:r>
              <w:rPr>
                <w:rFonts w:ascii="Lato" w:cs="Lato" w:eastAsia="Lato" w:hAnsi="Lato"/>
                <w:color w:val="666666"/>
                <w:sz w:val="22"/>
                <w:szCs w:val="22"/>
              </w:rPr>
              <w:t xml:space="preserve">Regulated industry software delivery</w:t>
            </w:r>
          </w:p>
          <w:p>
            <w:pPr>
              <w:pStyle w:val="ListParagraph"/>
              <w:numPr>
                <w:ilvl w:val="0"/>
                <w:numId w:val="2"/>
              </w:numPr>
              <w:spacing w:before="60" w:after="60"/>
            </w:pPr>
            <w:r>
              <w:rPr>
                <w:rFonts w:ascii="Lato" w:cs="Lato" w:eastAsia="Lato" w:hAnsi="Lato"/>
                <w:color w:val="666666"/>
                <w:sz w:val="22"/>
                <w:szCs w:val="22"/>
              </w:rPr>
              <w:t xml:space="preserve">Multi-stakeholder enterprise deployments</w:t>
            </w:r>
          </w:p>
          <w:p>
            <w:pPr>
              <w:pStyle w:val="ListParagraph"/>
              <w:numPr>
                <w:ilvl w:val="0"/>
                <w:numId w:val="2"/>
              </w:numPr>
              <w:spacing w:before="60" w:after="60"/>
            </w:pPr>
            <w:r>
              <w:rPr>
                <w:rFonts w:ascii="Lato" w:cs="Lato" w:eastAsia="Lato" w:hAnsi="Lato"/>
                <w:color w:val="666666"/>
                <w:sz w:val="22"/>
                <w:szCs w:val="22"/>
              </w:rPr>
              <w:t xml:space="preserve">Managed services and long-term operational partnerships</w:t>
            </w:r>
          </w:p>
        </w:tc>
        <w:tc>
          <w:tcPr>
            <w:tcW w:type="dxa" w:w="456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200" w:after="80"/>
            </w:pPr>
            <w:r>
              <w:rPr>
                <w:rFonts w:ascii="Lato" w:cs="Lato" w:eastAsia="Lato" w:hAnsi="Lato"/>
                <w:b/>
                <w:bCs/>
                <w:color w:val="666666"/>
                <w:sz w:val="22"/>
                <w:szCs w:val="22"/>
              </w:rPr>
              <w:t xml:space="preserve">Delivery Model</w:t>
            </w:r>
          </w:p>
          <w:p>
            <w:pPr>
              <w:pStyle w:val="ListParagraph"/>
              <w:numPr>
                <w:ilvl w:val="0"/>
                <w:numId w:val="2"/>
              </w:numPr>
              <w:spacing w:before="60" w:after="60"/>
            </w:pPr>
            <w:r>
              <w:rPr>
                <w:rFonts w:ascii="Lato" w:cs="Lato" w:eastAsia="Lato" w:hAnsi="Lato"/>
                <w:color w:val="666666"/>
                <w:sz w:val="22"/>
                <w:szCs w:val="22"/>
              </w:rPr>
              <w:t xml:space="preserve">Fixed-price, milestone-based engagements</w:t>
            </w:r>
          </w:p>
          <w:p>
            <w:pPr>
              <w:pStyle w:val="ListParagraph"/>
              <w:numPr>
                <w:ilvl w:val="0"/>
                <w:numId w:val="2"/>
              </w:numPr>
              <w:spacing w:before="60" w:after="60"/>
            </w:pPr>
            <w:r>
              <w:rPr>
                <w:rFonts w:ascii="Lato" w:cs="Lato" w:eastAsia="Lato" w:hAnsi="Lato"/>
                <w:color w:val="666666"/>
                <w:sz w:val="22"/>
                <w:szCs w:val="22"/>
              </w:rPr>
              <w:t xml:space="preserve">Dedicated project teams — no resource juggling</w:t>
            </w:r>
          </w:p>
          <w:p>
            <w:pPr>
              <w:pStyle w:val="ListParagraph"/>
              <w:numPr>
                <w:ilvl w:val="0"/>
                <w:numId w:val="2"/>
              </w:numPr>
              <w:spacing w:before="60" w:after="60"/>
            </w:pPr>
            <w:r>
              <w:rPr>
                <w:rFonts w:ascii="Lato" w:cs="Lato" w:eastAsia="Lato" w:hAnsi="Lato"/>
                <w:color w:val="666666"/>
                <w:sz w:val="22"/>
                <w:szCs w:val="22"/>
              </w:rPr>
              <w:t xml:space="preserve">Weekly executive status reporting</w:t>
            </w:r>
          </w:p>
          <w:p>
            <w:pPr>
              <w:pStyle w:val="ListParagraph"/>
              <w:numPr>
                <w:ilvl w:val="0"/>
                <w:numId w:val="2"/>
              </w:numPr>
              <w:spacing w:before="60" w:after="60"/>
            </w:pPr>
            <w:r>
              <w:rPr>
                <w:rFonts w:ascii="Lato" w:cs="Lato" w:eastAsia="Lato" w:hAnsi="Lato"/>
                <w:color w:val="666666"/>
                <w:sz w:val="22"/>
                <w:szCs w:val="22"/>
              </w:rPr>
              <w:t xml:space="preserve">Structured change control with full transparency</w:t>
            </w:r>
          </w:p>
          <w:p>
            <w:pPr>
              <w:pStyle w:val="ListParagraph"/>
              <w:numPr>
                <w:ilvl w:val="0"/>
                <w:numId w:val="2"/>
              </w:numPr>
              <w:spacing w:before="60" w:after="60"/>
            </w:pPr>
            <w:r>
              <w:rPr>
                <w:rFonts w:ascii="Lato" w:cs="Lato" w:eastAsia="Lato" w:hAnsi="Lato"/>
                <w:color w:val="666666"/>
                <w:sz w:val="22"/>
                <w:szCs w:val="22"/>
              </w:rPr>
              <w:t xml:space="preserve">Explicit knowledge transfer at each phase gate</w:t>
            </w:r>
          </w:p>
        </w:tc>
      </w:tr>
    </w:tbl>
    <w:p>
      <w:pPr>
        <w:spacing w:before="0" w:after="240"/>
      </w:pPr>
      <w:r>
        <w:t xml:space="preserve"/>
      </w:r>
    </w:p>
    <w:p>
      <w:pPr>
        <w:spacing w:before="0" w:after="120"/>
        <w:contextualSpacing w:val="false"/>
      </w:pPr>
      <w:r>
        <w:rPr>
          <w:rFonts w:ascii="Lato" w:cs="Lato" w:eastAsia="Lato" w:hAnsi="Lato"/>
          <w:color w:val="666666"/>
          <w:sz w:val="22"/>
          <w:szCs w:val="22"/>
        </w:rPr>
        <w:t xml:space="preserve">Our assigned team will include a Project Director, Solution Architect, Finance Systems Lead, Integration Engineers, Front-End Engineers, QA Lead, and a dedicated Client Success Manager through go-live and into managed services. Full team profiles available upon request.</w:t>
      </w:r>
    </w:p>
    <w:p>
      <w:pPr>
        <w:spacing w:before="0" w:after="400"/>
      </w:pPr>
      <w:r>
        <w:t xml:space="preserve"/>
      </w:r>
    </w:p>
    <w:p>
      <w:pPr>
        <w:spacing w:before="480" w:after="80"/>
      </w:pPr>
      <w:r>
        <w:rPr>
          <w:rFonts w:ascii="Lato" w:cs="Lato" w:eastAsia="Lato" w:hAnsi="Lato"/>
          <w:b/>
          <w:bCs/>
          <w:color w:val="FF9900"/>
          <w:sz w:val="24"/>
          <w:szCs w:val="24"/>
        </w:rPr>
        <w:t xml:space="preserve">— </w:t>
      </w:r>
      <w:r>
        <w:rPr>
          <w:rFonts w:ascii="Lato" w:cs="Lato" w:eastAsia="Lato" w:hAnsi="Lato"/>
          <w:b/>
          <w:bCs/>
          <w:color w:val="1b1c1d"/>
          <w:spacing w:val="40"/>
          <w:sz w:val="24"/>
          <w:szCs w:val="24"/>
        </w:rPr>
        <w:t xml:space="preserve">GOVERNANCE &amp; DELIVERY MODEL</w:t>
      </w:r>
    </w:p>
    <w:p>
      <w:pPr>
        <w:pBdr>
          <w:bottom w:val="single" w:color="FF9900" w:sz="4" w:space="4"/>
        </w:pBdr>
        <w:spacing w:before="0" w:after="240"/>
      </w:pPr>
      <w:r>
        <w:t xml:space="preserve"/>
      </w:r>
    </w:p>
    <w:p>
      <w:pPr>
        <w:spacing w:before="280" w:after="100"/>
      </w:pPr>
      <w:r>
        <w:rPr>
          <w:rFonts w:ascii="Lato" w:cs="Lato" w:eastAsia="Lato" w:hAnsi="Lato"/>
          <w:b/>
          <w:bCs/>
          <w:color w:val="303030"/>
          <w:sz w:val="24"/>
          <w:szCs w:val="24"/>
        </w:rPr>
        <w:t xml:space="preserve">Contracting Structure</w:t>
      </w:r>
    </w:p>
    <w:p>
      <w:pPr>
        <w:pStyle w:val="ListParagraph"/>
        <w:numPr>
          <w:ilvl w:val="0"/>
          <w:numId w:val="2"/>
        </w:numPr>
        <w:spacing w:before="60" w:after="60"/>
      </w:pPr>
      <w:r>
        <w:rPr>
          <w:rFonts w:ascii="Lato" w:cs="Lato" w:eastAsia="Lato" w:hAnsi="Lato"/>
          <w:color w:val="666666"/>
          <w:sz w:val="22"/>
          <w:szCs w:val="22"/>
        </w:rPr>
        <w:t xml:space="preserve">Master Services Agreement (MSA): governing terms, IP ownership, liability, confidentiality</w:t>
      </w:r>
    </w:p>
    <w:p>
      <w:pPr>
        <w:pStyle w:val="ListParagraph"/>
        <w:numPr>
          <w:ilvl w:val="0"/>
          <w:numId w:val="2"/>
        </w:numPr>
        <w:spacing w:before="60" w:after="60"/>
      </w:pPr>
      <w:r>
        <w:rPr>
          <w:rFonts w:ascii="Lato" w:cs="Lato" w:eastAsia="Lato" w:hAnsi="Lato"/>
          <w:color w:val="666666"/>
          <w:sz w:val="22"/>
          <w:szCs w:val="22"/>
        </w:rPr>
        <w:t xml:space="preserve">Phase 0 SOW: signed at engagement start — fixed-price, fixed-scope</w:t>
      </w:r>
    </w:p>
    <w:p>
      <w:pPr>
        <w:pStyle w:val="ListParagraph"/>
        <w:numPr>
          <w:ilvl w:val="0"/>
          <w:numId w:val="2"/>
        </w:numPr>
        <w:spacing w:before="60" w:after="60"/>
      </w:pPr>
      <w:r>
        <w:rPr>
          <w:rFonts w:ascii="Lato" w:cs="Lato" w:eastAsia="Lato" w:hAnsi="Lato"/>
          <w:color w:val="666666"/>
          <w:sz w:val="22"/>
          <w:szCs w:val="22"/>
        </w:rPr>
        <w:t xml:space="preserve">Phase 1–3 SOWs: issued at conclusion of Discovery — fixed-price with scope confirmed through Phase 0 findings</w:t>
      </w:r>
    </w:p>
    <w:p>
      <w:pPr>
        <w:pStyle w:val="ListParagraph"/>
        <w:numPr>
          <w:ilvl w:val="0"/>
          <w:numId w:val="2"/>
        </w:numPr>
        <w:spacing w:before="60" w:after="60"/>
      </w:pPr>
      <w:r>
        <w:rPr>
          <w:rFonts w:ascii="Lato" w:cs="Lato" w:eastAsia="Lato" w:hAnsi="Lato"/>
          <w:color w:val="666666"/>
          <w:sz w:val="22"/>
          <w:szCs w:val="22"/>
        </w:rPr>
        <w:t xml:space="preserve">Managed Services Agreement: addendum to MSA, annual renewal, new features via separate addendum</w:t>
      </w:r>
    </w:p>
    <w:p>
      <w:pPr>
        <w:spacing w:before="0" w:after="240"/>
      </w:pPr>
      <w:r>
        <w:t xml:space="preserve"/>
      </w:r>
    </w:p>
    <w:p>
      <w:pPr>
        <w:spacing w:before="280" w:after="100"/>
      </w:pPr>
      <w:r>
        <w:rPr>
          <w:rFonts w:ascii="Lato" w:cs="Lato" w:eastAsia="Lato" w:hAnsi="Lato"/>
          <w:b/>
          <w:bCs/>
          <w:color w:val="303030"/>
          <w:sz w:val="24"/>
          <w:szCs w:val="24"/>
        </w:rPr>
        <w:t xml:space="preserve">Product Ownership</w:t>
      </w:r>
    </w:p>
    <w:p>
      <w:pPr>
        <w:spacing w:before="0" w:after="120"/>
        <w:contextualSpacing w:val="false"/>
      </w:pPr>
      <w:r>
        <w:rPr>
          <w:rFonts w:ascii="Lato" w:cs="Lato" w:eastAsia="Lato" w:hAnsi="Lato"/>
          <w:color w:val="666666"/>
          <w:sz w:val="22"/>
          <w:szCs w:val="22"/>
        </w:rPr>
        <w:t xml:space="preserve">We will work closely with UTILITYnet's assigned business owner to ensure requirements are validated, decisions are made efficiently, and organizational knowledge is transferred — not locked inside our team. Phase 0 is structured specifically to get this person up to speed on modern product delivery so they can exercise informed decision authority throughout the program.</w:t>
      </w:r>
    </w:p>
    <w:p>
      <w:pPr>
        <w:spacing w:before="0" w:after="240"/>
      </w:pPr>
      <w:r>
        <w:t xml:space="preserve"/>
      </w:r>
    </w:p>
    <w:p>
      <w:pPr>
        <w:spacing w:before="280" w:after="100"/>
      </w:pPr>
      <w:r>
        <w:rPr>
          <w:rFonts w:ascii="Lato" w:cs="Lato" w:eastAsia="Lato" w:hAnsi="Lato"/>
          <w:b/>
          <w:bCs/>
          <w:color w:val="303030"/>
          <w:sz w:val="24"/>
          <w:szCs w:val="24"/>
        </w:rPr>
        <w:t xml:space="preserve">Requirements Confirmation Approach</w:t>
      </w:r>
    </w:p>
    <w:p>
      <w:pPr>
        <w:spacing w:before="0" w:after="120"/>
        <w:contextualSpacing w:val="false"/>
      </w:pPr>
      <w:r>
        <w:rPr>
          <w:rFonts w:ascii="Lato" w:cs="Lato" w:eastAsia="Lato" w:hAnsi="Lato"/>
          <w:color w:val="666666"/>
          <w:sz w:val="22"/>
          <w:szCs w:val="22"/>
        </w:rPr>
        <w:t xml:space="preserve">We recommend structured process walkthroughs, working sessions with functional SMEs, and prototype-based validation for complex workflows. Sign-off is formalized at end of Phase 0 via a Solution Design Document reviewed and approved by UTILITYnet's designated stakeholders. We are flexible to adapt based on your preferences.</w:t>
      </w:r>
    </w:p>
    <w:p>
      <w:pPr>
        <w:spacing w:before="0" w:after="400"/>
      </w:pPr>
      <w:r>
        <w:t xml:space="preserve"/>
      </w:r>
    </w:p>
    <w:p>
      <w:pPr>
        <w:spacing w:before="480" w:after="80"/>
      </w:pPr>
      <w:r>
        <w:rPr>
          <w:rFonts w:ascii="Lato" w:cs="Lato" w:eastAsia="Lato" w:hAnsi="Lato"/>
          <w:b/>
          <w:bCs/>
          <w:color w:val="FF9900"/>
          <w:sz w:val="24"/>
          <w:szCs w:val="24"/>
        </w:rPr>
        <w:t xml:space="preserve">— </w:t>
      </w:r>
      <w:r>
        <w:rPr>
          <w:rFonts w:ascii="Lato" w:cs="Lato" w:eastAsia="Lato" w:hAnsi="Lato"/>
          <w:b/>
          <w:bCs/>
          <w:color w:val="1b1c1d"/>
          <w:spacing w:val="40"/>
          <w:sz w:val="24"/>
          <w:szCs w:val="24"/>
        </w:rPr>
        <w:t xml:space="preserve">RELEVANT EXPERIENCE</w:t>
      </w:r>
    </w:p>
    <w:p>
      <w:pPr>
        <w:pBdr>
          <w:bottom w:val="single" w:color="FF9900" w:sz="4" w:space="4"/>
        </w:pBdr>
        <w:spacing w:before="0" w:after="240"/>
      </w:pPr>
      <w:r>
        <w:t xml:space="preserve"/>
      </w:r>
    </w:p>
    <w:p>
      <w:pPr>
        <w:spacing w:before="0" w:after="120"/>
        <w:contextualSpacing w:val="false"/>
      </w:pPr>
      <w:r>
        <w:rPr>
          <w:rFonts w:ascii="Lato" w:cs="Lato" w:eastAsia="Lato" w:hAnsi="Lato"/>
          <w:color w:val="666666"/>
          <w:sz w:val="22"/>
          <w:szCs w:val="22"/>
        </w:rPr>
        <w:t xml:space="preserve">The energy sector demands more than software competency — it demands fluency in complex pricing logic, data pipelines, hardware integrations, and the operational stakes of systems that cannot fail. The following engagements demonstrate that fluency directly.</w:t>
      </w:r>
    </w:p>
    <w:p>
      <w:pP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00" w:sz="16"/>
              <w:left w:val="none" w:color="FFFFFF" w:sz="0"/>
              <w:bottom w:val="none" w:color="FFFFFF" w:sz="0"/>
              <w:right w:val="none" w:color="FFFFFF" w:sz="0"/>
            </w:tcBorders>
            <w:shd w:fill="1b1c1d" w:val="clear"/>
            <w:tcMar>
              <w:top w:type="dxa" w:w="140"/>
              <w:left w:type="dxa" w:w="200"/>
              <w:bottom w:type="dxa" w:w="140"/>
              <w:right w:type="dxa" w:w="200"/>
            </w:tcMar>
          </w:tcPr>
          <w:p>
            <w:pPr>
              <w:spacing w:before="0" w:after="40"/>
            </w:pPr>
            <w:r>
              <w:rPr>
                <w:rFonts w:ascii="Lato" w:cs="Lato" w:eastAsia="Lato" w:hAnsi="Lato"/>
                <w:b/>
                <w:bCs/>
                <w:color w:val="FFFFFF"/>
                <w:sz w:val="26"/>
                <w:szCs w:val="26"/>
              </w:rPr>
              <w:t xml:space="preserve">Truelight Energy</w:t>
            </w:r>
            <w:r>
              <w:rPr>
                <w:rFonts w:ascii="Lato" w:cs="Lato" w:eastAsia="Lato" w:hAnsi="Lato"/>
                <w:color w:val="cccccc"/>
                <w:sz w:val="20"/>
                <w:szCs w:val="20"/>
              </w:rPr>
              <w:t xml:space="preserve">  ·  Next-Generation Electricity Pricing Platform</w:t>
            </w:r>
          </w:p>
          <w:p>
            <w:pPr>
              <w:spacing w:before="0" w:after="0"/>
            </w:pPr>
            <w:r>
              <w:rPr>
                <w:rFonts w:ascii="Lato" w:cs="Lato" w:eastAsia="Lato" w:hAnsi="Lato"/>
                <w:color w:val="FF9900"/>
                <w:sz w:val="20"/>
                <w:szCs w:val="20"/>
              </w:rPr>
              <w:t xml:space="preserve">Energy Analytics  ·  Web Application  ·  Ruby on Rails</w:t>
            </w:r>
          </w:p>
        </w:tc>
      </w:tr>
      <w:tr>
        <w:tc>
          <w:tcPr>
            <w:tcW w:type="dxa" w:w="9360"/>
            <w:tcBorders>
              <w:top w:val="none" w:color="FFFFFF" w:sz="0"/>
              <w:left w:val="single" w:color="FF9900" w:sz="12"/>
              <w:bottom w:val="single" w:color="cccccc" w:sz="2"/>
              <w:right w:val="none" w:color="FFFFFF" w:sz="0"/>
            </w:tcBorders>
            <w:shd w:fill="F9F9F9" w:val="clear"/>
            <w:tcMar>
              <w:top w:type="dxa" w:w="140"/>
              <w:left w:type="dxa" w:w="200"/>
              <w:bottom w:type="dxa" w:w="160"/>
              <w:right w:type="dxa" w:w="200"/>
            </w:tcMar>
          </w:tcPr>
          <w:p>
            <w:pPr>
              <w:spacing w:before="0" w:after="80"/>
            </w:pPr>
            <w:r>
              <w:rPr>
                <w:rFonts w:ascii="Lato" w:cs="Lato" w:eastAsia="Lato" w:hAnsi="Lato"/>
                <w:color w:val="666666"/>
                <w:sz w:val="21"/>
                <w:szCs w:val="21"/>
              </w:rPr>
              <w:t xml:space="preserve">Truelight Energy is an energy analytics consultancy whose Excel-based pricing models had become unscalable — too complex and too slow to handle the volume of pricing calculations their business required. Gnar was engaged to replace those spreadsheets with a purpose-built electricity pricing platform.</w:t>
            </w:r>
          </w:p>
          <w:p>
            <w:pPr>
              <w:spacing w:before="0" w:after="100"/>
            </w:pPr>
            <w:r>
              <w:rPr>
                <w:rFonts w:ascii="Lato" w:cs="Lato" w:eastAsia="Lato" w:hAnsi="Lato"/>
                <w:color w:val="666666"/>
                <w:sz w:val="21"/>
                <w:szCs w:val="21"/>
              </w:rPr>
              <w:t xml:space="preserve">The platform handles multi-variable energy price calculations across components including Energy, Capacity, Transmission, Ancillaries, RPS, Losses, and Margin. It includes account management for enterprise clients, energy market data ingestion, CSV-based bulk usage uploads, quote generation and tracking, and a custom API allowing high-volume clients to submit account data and receive calculated prices programmatically.</w:t>
            </w:r>
          </w:p>
          <w:p>
            <w:pPr>
              <w:spacing w:before="60" w:after="60"/>
            </w:pPr>
            <w:r>
              <w:rPr>
                <w:rFonts w:ascii="Lato" w:cs="Lato" w:eastAsia="Lato" w:hAnsi="Lato"/>
                <w:b/>
                <w:bCs/>
                <w:color w:val="303030"/>
                <w:sz w:val="21"/>
                <w:szCs w:val="21"/>
              </w:rPr>
              <w:t xml:space="preserve">Relevant to UTILITYnet:</w:t>
            </w:r>
          </w:p>
          <w:p>
            <w:pPr>
              <w:pStyle w:val="ListParagraph"/>
              <w:numPr>
                <w:ilvl w:val="0"/>
                <w:numId w:val="2"/>
              </w:numPr>
              <w:spacing w:before="60" w:after="60"/>
            </w:pPr>
            <w:r>
              <w:rPr>
                <w:rFonts w:ascii="Lato" w:cs="Lato" w:eastAsia="Lato" w:hAnsi="Lato"/>
                <w:color w:val="666666"/>
                <w:sz w:val="21"/>
                <w:szCs w:val="21"/>
              </w:rPr>
              <w:t xml:space="preserve">Complex, multi-variable energy pricing logic built into a production-grade web platform — directly analogous to UTILITYnet's billing and rate management requirements</w:t>
            </w:r>
          </w:p>
          <w:p>
            <w:pPr>
              <w:pStyle w:val="ListParagraph"/>
              <w:numPr>
                <w:ilvl w:val="0"/>
                <w:numId w:val="2"/>
              </w:numPr>
              <w:spacing w:before="60" w:after="60"/>
            </w:pPr>
            <w:r>
              <w:rPr>
                <w:rFonts w:ascii="Lato" w:cs="Lato" w:eastAsia="Lato" w:hAnsi="Lato"/>
                <w:color w:val="666666"/>
                <w:sz w:val="21"/>
                <w:szCs w:val="21"/>
              </w:rPr>
              <w:t xml:space="preserve">Energy market data ingestion and management by platform administrators</w:t>
            </w:r>
          </w:p>
          <w:p>
            <w:pPr>
              <w:pStyle w:val="ListParagraph"/>
              <w:numPr>
                <w:ilvl w:val="0"/>
                <w:numId w:val="2"/>
              </w:numPr>
              <w:spacing w:before="60" w:after="60"/>
            </w:pPr>
            <w:r>
              <w:rPr>
                <w:rFonts w:ascii="Lato" w:cs="Lato" w:eastAsia="Lato" w:hAnsi="Lato"/>
                <w:color w:val="666666"/>
                <w:sz w:val="21"/>
                <w:szCs w:val="21"/>
              </w:rPr>
              <w:t xml:space="preserve">Multi-client account structure: accounts, opportunities, quotes, and proposal tracking across a client portfolio</w:t>
            </w:r>
          </w:p>
          <w:p>
            <w:pPr>
              <w:pStyle w:val="ListParagraph"/>
              <w:numPr>
                <w:ilvl w:val="0"/>
                <w:numId w:val="2"/>
              </w:numPr>
              <w:spacing w:before="60" w:after="60"/>
            </w:pPr>
            <w:r>
              <w:rPr>
                <w:rFonts w:ascii="Lato" w:cs="Lato" w:eastAsia="Lato" w:hAnsi="Lato"/>
                <w:color w:val="666666"/>
                <w:sz w:val="21"/>
                <w:szCs w:val="21"/>
              </w:rPr>
              <w:t xml:space="preserve">Bulk data processing via custom API: clients submit electricity usage data, receive calculated pricing at volume</w:t>
            </w:r>
          </w:p>
          <w:p>
            <w:pPr>
              <w:pStyle w:val="ListParagraph"/>
              <w:numPr>
                <w:ilvl w:val="0"/>
                <w:numId w:val="2"/>
              </w:numPr>
              <w:spacing w:before="60" w:after="60"/>
            </w:pPr>
            <w:r>
              <w:rPr>
                <w:rFonts w:ascii="Lato" w:cs="Lato" w:eastAsia="Lato" w:hAnsi="Lato"/>
                <w:color w:val="666666"/>
                <w:sz w:val="21"/>
                <w:szCs w:val="21"/>
              </w:rPr>
              <w:t xml:space="preserve">Discovery-first delivery: requirements, user flows, and architecture defined before any development began</w:t>
            </w:r>
          </w:p>
        </w:tc>
      </w:tr>
    </w:tbl>
    <w:p>
      <w:pP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00" w:sz="16"/>
              <w:left w:val="none" w:color="FFFFFF" w:sz="0"/>
              <w:bottom w:val="none" w:color="FFFFFF" w:sz="0"/>
              <w:right w:val="none" w:color="FFFFFF" w:sz="0"/>
            </w:tcBorders>
            <w:shd w:fill="1b1c1d" w:val="clear"/>
            <w:tcMar>
              <w:top w:type="dxa" w:w="140"/>
              <w:left w:type="dxa" w:w="200"/>
              <w:bottom w:type="dxa" w:w="140"/>
              <w:right w:type="dxa" w:w="200"/>
            </w:tcMar>
          </w:tcPr>
          <w:p>
            <w:pPr>
              <w:spacing w:before="0" w:after="40"/>
            </w:pPr>
            <w:r>
              <w:rPr>
                <w:rFonts w:ascii="Lato" w:cs="Lato" w:eastAsia="Lato" w:hAnsi="Lato"/>
                <w:b/>
                <w:bCs/>
                <w:color w:val="FFFFFF"/>
                <w:sz w:val="26"/>
                <w:szCs w:val="26"/>
              </w:rPr>
              <w:t xml:space="preserve">Linemeter</w:t>
            </w:r>
            <w:r>
              <w:rPr>
                <w:rFonts w:ascii="Lato" w:cs="Lato" w:eastAsia="Lato" w:hAnsi="Lato"/>
                <w:color w:val="cccccc"/>
                <w:sz w:val="20"/>
                <w:szCs w:val="20"/>
              </w:rPr>
              <w:t xml:space="preserve">  ·  Real-Time Home Smart Meter Monitoring</w:t>
            </w:r>
          </w:p>
          <w:p>
            <w:pPr>
              <w:spacing w:before="0" w:after="0"/>
            </w:pPr>
            <w:r>
              <w:rPr>
                <w:rFonts w:ascii="Lato" w:cs="Lato" w:eastAsia="Lato" w:hAnsi="Lato"/>
                <w:color w:val="FF9900"/>
                <w:sz w:val="20"/>
                <w:szCs w:val="20"/>
              </w:rPr>
              <w:t xml:space="preserve">Energy &amp; IoT  ·  Web Application + IoT Device  ·  Ruby on Rails, React</w:t>
            </w:r>
          </w:p>
        </w:tc>
      </w:tr>
      <w:tr>
        <w:tc>
          <w:tcPr>
            <w:tcW w:type="dxa" w:w="9360"/>
            <w:tcBorders>
              <w:top w:val="none" w:color="FFFFFF" w:sz="0"/>
              <w:left w:val="single" w:color="FF9900" w:sz="12"/>
              <w:bottom w:val="single" w:color="cccccc" w:sz="2"/>
              <w:right w:val="none" w:color="FFFFFF" w:sz="0"/>
            </w:tcBorders>
            <w:shd w:fill="F9F9F9" w:val="clear"/>
            <w:tcMar>
              <w:top w:type="dxa" w:w="140"/>
              <w:left w:type="dxa" w:w="200"/>
              <w:bottom w:type="dxa" w:w="160"/>
              <w:right w:type="dxa" w:w="200"/>
            </w:tcMar>
          </w:tcPr>
          <w:p>
            <w:pPr>
              <w:spacing w:before="0" w:after="80"/>
            </w:pPr>
            <w:r>
              <w:rPr>
                <w:rFonts w:ascii="Lato" w:cs="Lato" w:eastAsia="Lato" w:hAnsi="Lato"/>
                <w:color w:val="666666"/>
                <w:sz w:val="21"/>
                <w:szCs w:val="21"/>
              </w:rPr>
              <w:t xml:space="preserve">Consumer electric smart meters provide real-time usage data but offer no consumer-facing visibility. Linemeter set out to close that gap. Gnar built both the IoT prototype hardware and the cloud platform to support it.</w:t>
            </w:r>
          </w:p>
          <w:p>
            <w:pPr>
              <w:spacing w:before="0" w:after="100"/>
            </w:pPr>
            <w:r>
              <w:rPr>
                <w:rFonts w:ascii="Lato" w:cs="Lato" w:eastAsia="Lato" w:hAnsi="Lato"/>
                <w:color w:val="666666"/>
                <w:sz w:val="21"/>
                <w:szCs w:val="21"/>
              </w:rPr>
              <w:t xml:space="preserve">The solution uses RTL-SDR technology to read data directly from utility company smart meters, process it, and store it in the cloud in real-time. The consumer web application displays live energy usage data, giving residential customers the real-time insights their utility providers couldn't offer.</w:t>
            </w:r>
          </w:p>
          <w:p>
            <w:pPr>
              <w:spacing w:before="60" w:after="60"/>
            </w:pPr>
            <w:r>
              <w:rPr>
                <w:rFonts w:ascii="Lato" w:cs="Lato" w:eastAsia="Lato" w:hAnsi="Lato"/>
                <w:b/>
                <w:bCs/>
                <w:color w:val="303030"/>
                <w:sz w:val="21"/>
                <w:szCs w:val="21"/>
              </w:rPr>
              <w:t xml:space="preserve">Relevant to UTILITYnet:</w:t>
            </w:r>
          </w:p>
          <w:p>
            <w:pPr>
              <w:pStyle w:val="ListParagraph"/>
              <w:numPr>
                <w:ilvl w:val="0"/>
                <w:numId w:val="2"/>
              </w:numPr>
              <w:spacing w:before="60" w:after="60"/>
            </w:pPr>
            <w:r>
              <w:rPr>
                <w:rFonts w:ascii="Lato" w:cs="Lato" w:eastAsia="Lato" w:hAnsi="Lato"/>
                <w:color w:val="666666"/>
                <w:sz w:val="21"/>
                <w:szCs w:val="21"/>
              </w:rPr>
              <w:t xml:space="preserve">Direct integration with utility company smart meter infrastructure — reading, processing, and storing live energy data</w:t>
            </w:r>
          </w:p>
          <w:p>
            <w:pPr>
              <w:pStyle w:val="ListParagraph"/>
              <w:numPr>
                <w:ilvl w:val="0"/>
                <w:numId w:val="2"/>
              </w:numPr>
              <w:spacing w:before="60" w:after="60"/>
            </w:pPr>
            <w:r>
              <w:rPr>
                <w:rFonts w:ascii="Lato" w:cs="Lato" w:eastAsia="Lato" w:hAnsi="Lato"/>
                <w:color w:val="666666"/>
                <w:sz w:val="21"/>
                <w:szCs w:val="21"/>
              </w:rPr>
              <w:t xml:space="preserve">Real-time data pipeline from physical hardware through cloud processing to consumer-facing application</w:t>
            </w:r>
          </w:p>
          <w:p>
            <w:pPr>
              <w:pStyle w:val="ListParagraph"/>
              <w:numPr>
                <w:ilvl w:val="0"/>
                <w:numId w:val="2"/>
              </w:numPr>
              <w:spacing w:before="60" w:after="60"/>
            </w:pPr>
            <w:r>
              <w:rPr>
                <w:rFonts w:ascii="Lato" w:cs="Lato" w:eastAsia="Lato" w:hAnsi="Lato"/>
                <w:color w:val="666666"/>
                <w:sz w:val="21"/>
                <w:szCs w:val="21"/>
              </w:rPr>
              <w:t xml:space="preserve">IoT device development alongside cloud platform: end-to-end ownership of the full technical stack</w:t>
            </w:r>
          </w:p>
          <w:p>
            <w:pPr>
              <w:pStyle w:val="ListParagraph"/>
              <w:numPr>
                <w:ilvl w:val="0"/>
                <w:numId w:val="2"/>
              </w:numPr>
              <w:spacing w:before="60" w:after="60"/>
            </w:pPr>
            <w:r>
              <w:rPr>
                <w:rFonts w:ascii="Lato" w:cs="Lato" w:eastAsia="Lato" w:hAnsi="Lato"/>
                <w:color w:val="666666"/>
                <w:sz w:val="21"/>
                <w:szCs w:val="21"/>
              </w:rPr>
              <w:t xml:space="preserve">Validated that utility smart meter data can be surfaced to consumers in real-time with minimal hardware overhead</w:t>
            </w:r>
          </w:p>
        </w:tc>
      </w:tr>
    </w:tbl>
    <w:p>
      <w:pP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9900" w:sz="16"/>
              <w:left w:val="none" w:color="FFFFFF" w:sz="0"/>
              <w:bottom w:val="none" w:color="FFFFFF" w:sz="0"/>
              <w:right w:val="none" w:color="FFFFFF" w:sz="0"/>
            </w:tcBorders>
            <w:shd w:fill="1b1c1d" w:val="clear"/>
            <w:tcMar>
              <w:top w:type="dxa" w:w="140"/>
              <w:left w:type="dxa" w:w="200"/>
              <w:bottom w:type="dxa" w:w="140"/>
              <w:right w:type="dxa" w:w="200"/>
            </w:tcMar>
          </w:tcPr>
          <w:p>
            <w:pPr>
              <w:spacing w:before="0" w:after="40"/>
            </w:pPr>
            <w:r>
              <w:rPr>
                <w:rFonts w:ascii="Lato" w:cs="Lato" w:eastAsia="Lato" w:hAnsi="Lato"/>
                <w:b/>
                <w:bCs/>
                <w:color w:val="FFFFFF"/>
                <w:sz w:val="26"/>
                <w:szCs w:val="26"/>
              </w:rPr>
              <w:t xml:space="preserve">Sungrow Power Supply Co.</w:t>
            </w:r>
            <w:r>
              <w:rPr>
                <w:rFonts w:ascii="Lato" w:cs="Lato" w:eastAsia="Lato" w:hAnsi="Lato"/>
                <w:color w:val="cccccc"/>
                <w:sz w:val="20"/>
                <w:szCs w:val="20"/>
              </w:rPr>
              <w:t xml:space="preserve">  ·  Enterprise Solar Energy Platform — US Market Expansion</w:t>
            </w:r>
          </w:p>
          <w:p>
            <w:pPr>
              <w:spacing w:before="0" w:after="0"/>
            </w:pPr>
            <w:r>
              <w:rPr>
                <w:rFonts w:ascii="Lato" w:cs="Lato" w:eastAsia="Lato" w:hAnsi="Lato"/>
                <w:color w:val="FF9900"/>
                <w:sz w:val="20"/>
                <w:szCs w:val="20"/>
              </w:rPr>
              <w:t xml:space="preserve">Energy &amp; IoT  ·  AWS  ·  Web + Mobile + Cloud  ·  USD $600K–750K</w:t>
            </w:r>
          </w:p>
        </w:tc>
      </w:tr>
      <w:tr>
        <w:tc>
          <w:tcPr>
            <w:tcW w:type="dxa" w:w="9360"/>
            <w:tcBorders>
              <w:top w:val="none" w:color="FFFFFF" w:sz="0"/>
              <w:left w:val="single" w:color="FF9900" w:sz="12"/>
              <w:bottom w:val="single" w:color="cccccc" w:sz="2"/>
              <w:right w:val="none" w:color="FFFFFF" w:sz="0"/>
            </w:tcBorders>
            <w:shd w:fill="F9F9F9" w:val="clear"/>
            <w:tcMar>
              <w:top w:type="dxa" w:w="140"/>
              <w:left w:type="dxa" w:w="200"/>
              <w:bottom w:type="dxa" w:w="160"/>
              <w:right w:type="dxa" w:w="200"/>
            </w:tcMar>
          </w:tcPr>
          <w:p>
            <w:pPr>
              <w:spacing w:before="0" w:after="80"/>
            </w:pPr>
            <w:r>
              <w:rPr>
                <w:rFonts w:ascii="Lato" w:cs="Lato" w:eastAsia="Lato" w:hAnsi="Lato"/>
                <w:color w:val="666666"/>
                <w:sz w:val="21"/>
                <w:szCs w:val="21"/>
              </w:rPr>
              <w:t xml:space="preserve">Sungrow — the world's largest solar inverter manufacturer — engaged Gnar to design and build three interconnected applications to power their US residential energy market expansion: a consumer-facing monitoring app (web and mobile), a cloud infrastructure platform, and an installer configure application.</w:t>
            </w:r>
          </w:p>
          <w:p>
            <w:pPr>
              <w:spacing w:before="0" w:after="100"/>
            </w:pPr>
            <w:r>
              <w:rPr>
                <w:rFonts w:ascii="Lato" w:cs="Lato" w:eastAsia="Lato" w:hAnsi="Lato"/>
                <w:color w:val="666666"/>
                <w:sz w:val="21"/>
                <w:szCs w:val="21"/>
              </w:rPr>
              <w:t xml:space="preserve">Gnar delivered the full engagement from structured Discovery through architecture, design, and build on a fixed-scope, milestone-based model. The platform was built on AWS with a focus on security, US data residency compliance, scalability, and seamless integration across Sungrow's hardware partner ecosystem.</w:t>
            </w:r>
          </w:p>
          <w:p>
            <w:pPr>
              <w:spacing w:before="60" w:after="60"/>
            </w:pPr>
            <w:r>
              <w:rPr>
                <w:rFonts w:ascii="Lato" w:cs="Lato" w:eastAsia="Lato" w:hAnsi="Lato"/>
                <w:b/>
                <w:bCs/>
                <w:color w:val="303030"/>
                <w:sz w:val="21"/>
                <w:szCs w:val="21"/>
              </w:rPr>
              <w:t xml:space="preserve">Relevant to UTILITYnet:</w:t>
            </w:r>
          </w:p>
          <w:p>
            <w:pPr>
              <w:pStyle w:val="ListParagraph"/>
              <w:numPr>
                <w:ilvl w:val="0"/>
                <w:numId w:val="2"/>
              </w:numPr>
              <w:spacing w:before="60" w:after="60"/>
            </w:pPr>
            <w:r>
              <w:rPr>
                <w:rFonts w:ascii="Lato" w:cs="Lato" w:eastAsia="Lato" w:hAnsi="Lato"/>
                <w:color w:val="666666"/>
                <w:sz w:val="21"/>
                <w:szCs w:val="21"/>
              </w:rPr>
              <w:t xml:space="preserve">Real-time solar energy data ingestion, processing, and display at scale across residential installations</w:t>
            </w:r>
          </w:p>
          <w:p>
            <w:pPr>
              <w:pStyle w:val="ListParagraph"/>
              <w:numPr>
                <w:ilvl w:val="0"/>
                <w:numId w:val="2"/>
              </w:numPr>
              <w:spacing w:before="60" w:after="60"/>
            </w:pPr>
            <w:r>
              <w:rPr>
                <w:rFonts w:ascii="Lato" w:cs="Lato" w:eastAsia="Lato" w:hAnsi="Lato"/>
                <w:color w:val="666666"/>
                <w:sz w:val="21"/>
                <w:szCs w:val="21"/>
              </w:rPr>
              <w:t xml:space="preserve">Complex third-party hardware and API integrations across multiple hardware partners</w:t>
            </w:r>
          </w:p>
          <w:p>
            <w:pPr>
              <w:pStyle w:val="ListParagraph"/>
              <w:numPr>
                <w:ilvl w:val="0"/>
                <w:numId w:val="2"/>
              </w:numPr>
              <w:spacing w:before="60" w:after="60"/>
            </w:pPr>
            <w:r>
              <w:rPr>
                <w:rFonts w:ascii="Lato" w:cs="Lato" w:eastAsia="Lato" w:hAnsi="Lato"/>
                <w:color w:val="666666"/>
                <w:sz w:val="21"/>
                <w:szCs w:val="21"/>
              </w:rPr>
              <w:t xml:space="preserve">Regulatory compliance and data residency requirements embedded from day one</w:t>
            </w:r>
          </w:p>
          <w:p>
            <w:pPr>
              <w:pStyle w:val="ListParagraph"/>
              <w:numPr>
                <w:ilvl w:val="0"/>
                <w:numId w:val="2"/>
              </w:numPr>
              <w:spacing w:before="60" w:after="60"/>
            </w:pPr>
            <w:r>
              <w:rPr>
                <w:rFonts w:ascii="Lato" w:cs="Lato" w:eastAsia="Lato" w:hAnsi="Lato"/>
                <w:color w:val="666666"/>
                <w:sz w:val="21"/>
                <w:szCs w:val="21"/>
              </w:rPr>
              <w:t xml:space="preserve">Secure, AWS-native infrastructure designed for high-availability energy operations</w:t>
            </w:r>
          </w:p>
          <w:p>
            <w:pPr>
              <w:pStyle w:val="ListParagraph"/>
              <w:numPr>
                <w:ilvl w:val="0"/>
                <w:numId w:val="2"/>
              </w:numPr>
              <w:spacing w:before="60" w:after="60"/>
            </w:pPr>
            <w:r>
              <w:rPr>
                <w:rFonts w:ascii="Lato" w:cs="Lato" w:eastAsia="Lato" w:hAnsi="Lato"/>
                <w:color w:val="666666"/>
                <w:sz w:val="21"/>
                <w:szCs w:val="21"/>
              </w:rPr>
              <w:t xml:space="preserve">Fixed-price, phased delivery with milestone-based client approval gates</w:t>
            </w:r>
          </w:p>
        </w:tc>
      </w:tr>
    </w:tbl>
    <w:p>
      <w:pPr>
        <w:spacing w:before="0" w:after="280"/>
      </w:pPr>
      <w:r>
        <w:t xml:space="preserve"/>
      </w:r>
    </w:p>
    <w:p>
      <w:pPr>
        <w:spacing w:before="0" w:after="120"/>
      </w:pPr>
      <w:r>
        <w:t xml:space="preserve"/>
      </w:r>
    </w:p>
    <w:p>
      <w:pPr>
        <w:spacing w:before="480" w:after="80"/>
      </w:pPr>
      <w:r>
        <w:rPr>
          <w:rFonts w:ascii="Lato" w:cs="Lato" w:eastAsia="Lato" w:hAnsi="Lato"/>
          <w:b/>
          <w:bCs/>
          <w:color w:val="FF9900"/>
          <w:sz w:val="24"/>
          <w:szCs w:val="24"/>
        </w:rPr>
        <w:t xml:space="preserve">— </w:t>
      </w:r>
      <w:r>
        <w:rPr>
          <w:rFonts w:ascii="Lato" w:cs="Lato" w:eastAsia="Lato" w:hAnsi="Lato"/>
          <w:b/>
          <w:bCs/>
          <w:color w:val="1b1c1d"/>
          <w:spacing w:val="40"/>
          <w:sz w:val="24"/>
          <w:szCs w:val="24"/>
        </w:rPr>
        <w:t xml:space="preserve">WHY THE GNAR COMPANY</w:t>
      </w:r>
    </w:p>
    <w:p>
      <w:pPr>
        <w:pBdr>
          <w:bottom w:val="single" w:color="FF9900" w:sz="4" w:space="4"/>
        </w:pBdr>
        <w:spacing w:before="0" w:after="240"/>
      </w:pPr>
      <w:r>
        <w:t xml:space="preserve"/>
      </w:r>
    </w:p>
    <w:p>
      <w:pPr>
        <w:spacing w:before="0" w:after="120"/>
        <w:contextualSpacing w:val="false"/>
      </w:pPr>
      <w:r>
        <w:rPr>
          <w:rFonts w:ascii="Lato" w:cs="Lato" w:eastAsia="Lato" w:hAnsi="Lato"/>
          <w:color w:val="666666"/>
          <w:sz w:val="22"/>
          <w:szCs w:val="22"/>
        </w:rPr>
        <w:t xml:space="preserve">We are aware that UTILITYnet will evaluate multiple proposals. Here is the honest case for choosing us.</w:t>
      </w:r>
    </w:p>
    <w:p>
      <w:pPr>
        <w:spacing w:before="0" w:after="200"/>
      </w:pPr>
      <w:r>
        <w:t xml:space="preserve"/>
      </w:r>
    </w:p>
    <w:p>
      <w:pPr>
        <w:pStyle w:val="ListParagraph"/>
        <w:numPr>
          <w:ilvl w:val="0"/>
          <w:numId w:val="2"/>
        </w:numPr>
        <w:spacing w:before="60" w:after="60"/>
      </w:pPr>
      <w:r>
        <w:rPr>
          <w:rFonts w:ascii="Lato" w:cs="Lato" w:eastAsia="Lato" w:hAnsi="Lato"/>
          <w:b/>
          <w:bCs/>
          <w:color w:val="303030"/>
          <w:sz w:val="22"/>
          <w:szCs w:val="22"/>
        </w:rPr>
        <w:t xml:space="preserve">Custom-first. </w:t>
      </w:r>
      <w:r>
        <w:rPr>
          <w:rFonts w:ascii="Lato" w:cs="Lato" w:eastAsia="Lato" w:hAnsi="Lato"/>
          <w:color w:val="666666"/>
          <w:sz w:val="22"/>
          <w:szCs w:val="22"/>
        </w:rPr>
        <w:t xml:space="preserve">We build custom. Generic ERP implementations fail in complex environments because they force your business to conform to the software. We design the software to fit your business.</w:t>
      </w:r>
    </w:p>
    <w:p>
      <w:pPr>
        <w:spacing w:before="0" w:after="80"/>
      </w:pPr>
      <w:r>
        <w:t xml:space="preserve"/>
      </w:r>
    </w:p>
    <w:p>
      <w:pPr>
        <w:pStyle w:val="ListParagraph"/>
        <w:numPr>
          <w:ilvl w:val="0"/>
          <w:numId w:val="2"/>
        </w:numPr>
        <w:spacing w:before="60" w:after="60"/>
      </w:pPr>
      <w:r>
        <w:rPr>
          <w:rFonts w:ascii="Lato" w:cs="Lato" w:eastAsia="Lato" w:hAnsi="Lato"/>
          <w:b/>
          <w:bCs/>
          <w:color w:val="303030"/>
          <w:sz w:val="22"/>
          <w:szCs w:val="22"/>
        </w:rPr>
        <w:t xml:space="preserve">Skin in the game. </w:t>
      </w:r>
      <w:r>
        <w:rPr>
          <w:rFonts w:ascii="Lato" w:cs="Lato" w:eastAsia="Lato" w:hAnsi="Lato"/>
          <w:color w:val="666666"/>
          <w:sz w:val="22"/>
          <w:szCs w:val="22"/>
        </w:rPr>
        <w:t xml:space="preserve">Fixed-price is a filter. Most firms quote time-and-materials because they want optionality at your expense. Our incentive structure is aligned with yours: we profit by being efficient, not by running up hours.</w:t>
      </w:r>
    </w:p>
    <w:p>
      <w:pPr>
        <w:spacing w:before="0" w:after="80"/>
      </w:pPr>
      <w:r>
        <w:t xml:space="preserve"/>
      </w:r>
    </w:p>
    <w:p>
      <w:pPr>
        <w:pStyle w:val="ListParagraph"/>
        <w:numPr>
          <w:ilvl w:val="0"/>
          <w:numId w:val="2"/>
        </w:numPr>
        <w:spacing w:before="60" w:after="60"/>
      </w:pPr>
      <w:r>
        <w:rPr>
          <w:rFonts w:ascii="Lato" w:cs="Lato" w:eastAsia="Lato" w:hAnsi="Lato"/>
          <w:b/>
          <w:bCs/>
          <w:color w:val="303030"/>
          <w:sz w:val="22"/>
          <w:szCs w:val="22"/>
        </w:rPr>
        <w:t xml:space="preserve">We stay. </w:t>
      </w:r>
      <w:r>
        <w:rPr>
          <w:rFonts w:ascii="Lato" w:cs="Lato" w:eastAsia="Lato" w:hAnsi="Lato"/>
          <w:color w:val="666666"/>
          <w:sz w:val="22"/>
          <w:szCs w:val="22"/>
        </w:rPr>
        <w:t xml:space="preserve">We own operations post-go-live. We are invested in building something maintainable. We are not going to hand you a system and disappear — we will be running it alongside you.</w:t>
      </w:r>
    </w:p>
    <w:p>
      <w:pPr>
        <w:spacing w:before="0" w:after="80"/>
      </w:pPr>
      <w:r>
        <w:t xml:space="preserve"/>
      </w:r>
    </w:p>
    <w:p>
      <w:pPr>
        <w:pStyle w:val="ListParagraph"/>
        <w:numPr>
          <w:ilvl w:val="0"/>
          <w:numId w:val="2"/>
        </w:numPr>
        <w:spacing w:before="60" w:after="60"/>
      </w:pPr>
      <w:r>
        <w:rPr>
          <w:rFonts w:ascii="Lato" w:cs="Lato" w:eastAsia="Lato" w:hAnsi="Lato"/>
          <w:b/>
          <w:bCs/>
          <w:color w:val="303030"/>
          <w:sz w:val="22"/>
          <w:szCs w:val="22"/>
        </w:rPr>
        <w:t xml:space="preserve">Accountability scales with us. </w:t>
      </w:r>
      <w:r>
        <w:rPr>
          <w:rFonts w:ascii="Lato" w:cs="Lato" w:eastAsia="Lato" w:hAnsi="Lato"/>
          <w:color w:val="666666"/>
          <w:sz w:val="22"/>
          <w:szCs w:val="22"/>
        </w:rPr>
        <w:t xml:space="preserve">We are the right size. Large integrators deploy a senior team to win and a junior team to deliver. We are large enough to staff this program appropriately, small enough that your account matters to our leadership.</w:t>
      </w:r>
    </w:p>
    <w:p>
      <w:pPr>
        <w:spacing w:before="0" w:after="400"/>
      </w:pPr>
      <w:r>
        <w:t xml:space="preserve"/>
      </w:r>
    </w:p>
    <w:p>
      <w:pPr>
        <w:spacing w:before="480" w:after="80"/>
      </w:pPr>
      <w:r>
        <w:rPr>
          <w:rFonts w:ascii="Lato" w:cs="Lato" w:eastAsia="Lato" w:hAnsi="Lato"/>
          <w:b/>
          <w:bCs/>
          <w:color w:val="FF9900"/>
          <w:sz w:val="24"/>
          <w:szCs w:val="24"/>
        </w:rPr>
        <w:t xml:space="preserve">— </w:t>
      </w:r>
      <w:r>
        <w:rPr>
          <w:rFonts w:ascii="Lato" w:cs="Lato" w:eastAsia="Lato" w:hAnsi="Lato"/>
          <w:b/>
          <w:bCs/>
          <w:color w:val="1b1c1d"/>
          <w:spacing w:val="40"/>
          <w:sz w:val="24"/>
          <w:szCs w:val="24"/>
        </w:rPr>
        <w:t xml:space="preserve">NEXT STEPS</w:t>
      </w:r>
    </w:p>
    <w:p>
      <w:pPr>
        <w:pBdr>
          <w:bottom w:val="single" w:color="FF9900" w:sz="4" w:space="4"/>
        </w:pBdr>
        <w:spacing w:before="0" w:after="240"/>
      </w:pPr>
      <w:r>
        <w:t xml:space="preserve"/>
      </w:r>
    </w:p>
    <w:p>
      <w:pPr>
        <w:spacing w:before="0" w:after="120"/>
        <w:contextualSpacing w:val="false"/>
      </w:pPr>
      <w:r>
        <w:rPr>
          <w:rFonts w:ascii="Lato" w:cs="Lato" w:eastAsia="Lato" w:hAnsi="Lato"/>
          <w:color w:val="666666"/>
          <w:sz w:val="22"/>
          <w:szCs w:val="22"/>
        </w:rPr>
        <w:t xml:space="preserve">We propose the following to advance this engagement:</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cccccc" w:sz="1"/>
              <w:left w:val="single" w:color="cccccc" w:sz="1"/>
              <w:bottom w:val="single" w:color="cccccc" w:sz="1"/>
              <w:right w:val="single" w:color="cccccc" w:sz="1"/>
            </w:tcBorders>
            <w:shd w:fill="1b1c1d" w:val="clear"/>
            <w:tcMar>
              <w:top w:type="dxa" w:w="100"/>
              <w:left w:type="dxa" w:w="140"/>
              <w:bottom w:type="dxa" w:w="100"/>
              <w:right w:type="dxa" w:w="140"/>
            </w:tcMar>
          </w:tcPr>
          <w:p>
            <w:r>
              <w:rPr>
                <w:rFonts w:ascii="Lato" w:cs="Lato" w:eastAsia="Lato" w:hAnsi="Lato"/>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b1c1d" w:val="clear"/>
            <w:tcMar>
              <w:top w:type="dxa" w:w="100"/>
              <w:left w:type="dxa" w:w="140"/>
              <w:bottom w:type="dxa" w:w="100"/>
              <w:right w:type="dxa" w:w="140"/>
            </w:tcMar>
          </w:tcPr>
          <w:p>
            <w:r>
              <w:rPr>
                <w:rFonts w:ascii="Lato" w:cs="Lato" w:eastAsia="Lato" w:hAnsi="Lato"/>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1b1c1d" w:val="clear"/>
            <w:tcMar>
              <w:top w:type="dxa" w:w="100"/>
              <w:left w:type="dxa" w:w="140"/>
              <w:bottom w:type="dxa" w:w="100"/>
              <w:right w:type="dxa" w:w="140"/>
            </w:tcMar>
          </w:tcPr>
          <w:p>
            <w:r>
              <w:rPr>
                <w:rFonts w:ascii="Lato" w:cs="Lato" w:eastAsia="Lato" w:hAnsi="Lato"/>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1</w:t>
            </w:r>
          </w:p>
        </w:tc>
        <w:tc>
          <w:tcPr>
            <w:tcW w:type="dxa" w:w="516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Proposal review and clarification questions</w:t>
            </w:r>
          </w:p>
        </w:tc>
        <w:tc>
          <w:tcPr>
            <w:tcW w:type="dxa" w:w="360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UTILITYnet + Gnar</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Executive working session: solution alignment and team introduction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UTILITYnet + Gnar</w:t>
            </w:r>
          </w:p>
        </w:tc>
      </w:tr>
      <w:tr>
        <w:tc>
          <w:tcPr>
            <w:tcW w:type="dxa" w:w="60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3</w:t>
            </w:r>
          </w:p>
        </w:tc>
        <w:tc>
          <w:tcPr>
            <w:tcW w:type="dxa" w:w="516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MSA and Phase 0 SOW negotiation</w:t>
            </w:r>
          </w:p>
        </w:tc>
        <w:tc>
          <w:tcPr>
            <w:tcW w:type="dxa" w:w="3600"/>
            <w:tcBorders>
              <w:top w:val="single" w:color="cccccc" w:sz="1"/>
              <w:left w:val="single" w:color="cccccc" w:sz="1"/>
              <w:bottom w:val="single" w:color="cccccc" w:sz="1"/>
              <w:right w:val="single" w:color="cccccc" w:sz="1"/>
            </w:tcBorders>
            <w:shd w:fill="efefef" w:val="clear"/>
            <w:tcMar>
              <w:top w:type="dxa" w:w="90"/>
              <w:left w:type="dxa" w:w="140"/>
              <w:bottom w:type="dxa" w:w="90"/>
              <w:right w:type="dxa" w:w="140"/>
            </w:tcMar>
          </w:tcPr>
          <w:p>
            <w:r>
              <w:rPr>
                <w:rFonts w:ascii="Lato" w:cs="Lato" w:eastAsia="Lato" w:hAnsi="Lato"/>
                <w:b w:val="false"/>
                <w:bCs w:val="false"/>
                <w:color w:val="666666"/>
                <w:sz w:val="20"/>
                <w:szCs w:val="20"/>
              </w:rPr>
              <w:t xml:space="preserve">Legal teams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4</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Phase 0 kickoff — Discovery begins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Lato" w:cs="Lato" w:eastAsia="Lato" w:hAnsi="Lato"/>
                <w:b w:val="false"/>
                <w:bCs w:val="false"/>
                <w:color w:val="666666"/>
                <w:sz w:val="20"/>
                <w:szCs w:val="20"/>
              </w:rPr>
              <w:t xml:space="preserve">Gnar delivery team</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FF99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efefef" w:val="clear"/>
            <w:tcMar>
              <w:top w:type="dxa" w:w="160"/>
              <w:left w:type="dxa" w:w="220"/>
              <w:bottom w:type="dxa" w:w="160"/>
              <w:right w:type="dxa" w:w="220"/>
            </w:tcMar>
          </w:tcPr>
          <w:p>
            <w:pPr>
              <w:spacing w:before="0" w:after="60"/>
            </w:pPr>
            <w:r>
              <w:rPr>
                <w:rFonts w:ascii="Lato" w:cs="Lato" w:eastAsia="Lato" w:hAnsi="Lato"/>
                <w:b/>
                <w:bCs/>
                <w:color w:val="303030"/>
                <w:sz w:val="22"/>
                <w:szCs w:val="22"/>
              </w:rPr>
              <w:t xml:space="preserve">Our Ask</w:t>
            </w:r>
          </w:p>
          <w:p>
            <w:pPr>
              <w:spacing w:before="0" w:after="0"/>
            </w:pPr>
            <w:r>
              <w:rPr>
                <w:rFonts w:ascii="Lato" w:cs="Lato" w:eastAsia="Lato" w:hAnsi="Lato"/>
                <w:color w:val="666666"/>
                <w:sz w:val="22"/>
                <w:szCs w:val="22"/>
              </w:rPr>
              <w:t xml:space="preserve">Give us 60 minutes with your executive team before you make a final decision. We will walk through our approach, answer every question, and help you evaluate us — not just our document. A decision this significant deserves a conversation.</w:t>
            </w:r>
          </w:p>
        </w:tc>
      </w:tr>
    </w:tbl>
    <w:p>
      <w:pPr>
        <w:spacing w:before="0" w:after="400"/>
      </w:pPr>
      <w:r>
        <w:t xml:space="preserve"/>
      </w:r>
    </w:p>
    <w:p>
      <w:pPr>
        <w:spacing w:before="0" w:after="120"/>
        <w:contextualSpacing w:val="false"/>
      </w:pPr>
      <w:r>
        <w:rPr>
          <w:rFonts w:ascii="Lato" w:cs="Lato" w:eastAsia="Lato" w:hAnsi="Lato"/>
          <w:color w:val="666666"/>
          <w:sz w:val="22"/>
          <w:szCs w:val="22"/>
        </w:rPr>
        <w:t xml:space="preserve">We look forward to the opportunity to build something UTILITYnet is proud of.</w:t>
      </w:r>
    </w:p>
    <w:p>
      <w:pPr>
        <w:spacing w:before="0" w:after="120"/>
      </w:pPr>
      <w:r>
        <w:t xml:space="preserve"/>
      </w:r>
    </w:p>
    <w:p>
      <w:pPr>
        <w:spacing w:before="0" w:after="60"/>
      </w:pPr>
      <w:r>
        <w:rPr>
          <w:rFonts w:ascii="Lato" w:cs="Lato" w:eastAsia="Lato" w:hAnsi="Lato"/>
          <w:b/>
          <w:bCs/>
          <w:color w:val="1b1c1d"/>
          <w:sz w:val="24"/>
          <w:szCs w:val="24"/>
        </w:rPr>
        <w:t xml:space="preserve">The Gnar Company</w:t>
      </w:r>
      <w:r>
        <w:rPr>
          <w:rFonts w:ascii="Lato" w:cs="Lato" w:eastAsia="Lato" w:hAnsi="Lato"/>
          <w:b/>
          <w:bCs/>
          <w:color w:val="FF9900"/>
          <w:sz w:val="24"/>
          <w:szCs w:val="24"/>
        </w:rPr>
        <w:t xml:space="preserve">.</w:t>
      </w:r>
    </w:p>
    <w:p>
      <w:pPr>
        <w:spacing w:before="0" w:after="120"/>
        <w:contextualSpacing w:val="false"/>
      </w:pPr>
      <w:r>
        <w:rPr>
          <w:rFonts w:ascii="Lato" w:cs="Lato" w:eastAsia="Lato" w:hAnsi="Lato"/>
          <w:color w:val="666666"/>
          <w:sz w:val="22"/>
          <w:szCs w:val="22"/>
        </w:rPr>
        <w:t xml:space="preserve">thegnar.com  ·  Boston, MA</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100" w:after="0"/>
    </w:pPr>
    <w:r>
      <w:rPr>
        <w:rFonts w:ascii="Lato" w:cs="Lato" w:eastAsia="Lato" w:hAnsi="Lato"/>
        <w:color w:val="cccccc"/>
        <w:sz w:val="16"/>
        <w:szCs w:val="16"/>
      </w:rPr>
      <w:t xml:space="preserve">thegnar.com  ·  Proprietary and Confidential</w:t>
    </w:r>
    <w:r>
      <w:rPr>
        <w:rFonts w:ascii="Lato" w:cs="Lato" w:eastAsia="Lato" w:hAnsi="Lato"/>
        <w:sz w:val="16"/>
        <w:szCs w:val="16"/>
      </w:rPr>
      <w:t xml:space="preserve">	</w:t>
    </w:r>
    <w:r>
      <w:rPr>
        <w:rFonts w:ascii="Lato" w:cs="Lato" w:eastAsia="Lato" w:hAnsi="Lato"/>
        <w:color w:val="666666"/>
        <w:sz w:val="16"/>
        <w:szCs w:val="16"/>
      </w:rPr>
      <w:fldChar w:fldCharType="begin"/>
      <w:instrText xml:space="preserve">PAGE</w:instrText>
      <w:fldChar w:fldCharType="separate"/>
      <w:fldChar w:fldCharType="end"/>
    </w:r>
    <w:r>
      <w:rPr>
        <w:rFonts w:ascii="Lato" w:cs="Lato" w:eastAsia="Lato" w:hAnsi="Lato"/>
        <w:color w:val="cccccc"/>
        <w:sz w:val="16"/>
        <w:szCs w:val="16"/>
      </w:rPr>
      <w:t xml:space="preserve"> / </w:t>
    </w:r>
    <w:r>
      <w:rPr>
        <w:rFonts w:ascii="Lato" w:cs="Lato" w:eastAsia="Lato" w:hAnsi="Lato"/>
        <w:color w:val="ccccc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9900" w:sz="4" w:space="4"/>
      </w:pBdr>
      <w:tabs>
        <w:tab w:val="right" w:pos="9026"/>
      </w:tabs>
      <w:spacing w:before="0" w:after="120"/>
    </w:pPr>
    <w:r>
      <w:rPr>
        <w:rFonts w:ascii="Lato" w:cs="Lato" w:eastAsia="Lato" w:hAnsi="Lato"/>
        <w:color w:val="666666"/>
        <w:sz w:val="18"/>
        <w:szCs w:val="18"/>
      </w:rPr>
      <w:t xml:space="preserve">The Gnar Company  ·  UTILITYnet ERP Proposal</w:t>
    </w:r>
    <w:r>
      <w:rPr>
        <w:rFonts w:ascii="Lato" w:cs="Lato" w:eastAsia="Lato" w:hAnsi="Lato"/>
        <w:color w:val="cccccc"/>
        <w:sz w:val="18"/>
        <w:szCs w:val="18"/>
      </w:rPr>
      <w:t xml:space="preserve">	Confidential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66666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80"/>
      <w:outlineLvl w:val="0"/>
    </w:pPr>
    <w:rPr>
      <w:rFonts w:ascii="Lato" w:cs="Lato" w:eastAsia="Lato" w:hAnsi="Lato"/>
      <w:b/>
      <w:bCs/>
      <w:color w:val="1b1c1d"/>
      <w:sz w:val="24"/>
      <w:szCs w:val="24"/>
    </w:rPr>
  </w:style>
  <w:style w:type="paragraph" w:styleId="Heading2">
    <w:name w:val="Heading 2"/>
    <w:basedOn w:val="Normal"/>
    <w:next w:val="Normal"/>
    <w:qFormat/>
    <w:pPr>
      <w:spacing w:before="280" w:after="100"/>
      <w:outlineLvl w:val="1"/>
    </w:pPr>
    <w:rPr>
      <w:rFonts w:ascii="Lato" w:cs="Lato" w:eastAsia="Lato" w:hAnsi="Lato"/>
      <w:b/>
      <w:bCs/>
      <w:color w:val="3030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2026-02-23T19:40:45.978Z</dcterms:created>
  <dcterms:modified xsi:type="dcterms:W3CDTF">2026-02-23T19:40:45.979Z</dcterms:modified>
</cp:coreProperties>
</file>

<file path=docProps/custom.xml><?xml version="1.0" encoding="utf-8"?>
<Properties xmlns="http://schemas.openxmlformats.org/officeDocument/2006/custom-properties" xmlns:vt="http://schemas.openxmlformats.org/officeDocument/2006/docPropsVTypes"/>
</file>