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2225DB" w14:textId="7EB177AB" w:rsidR="004C1354" w:rsidRDefault="004C1354"/>
    <w:p w14:paraId="7948D5DA" w14:textId="31988209" w:rsidR="00A36C04" w:rsidRDefault="00A36C04">
      <w:r>
        <w:t xml:space="preserve">Drosophila </w:t>
      </w:r>
      <w:r w:rsidR="00BB216E">
        <w:t xml:space="preserve">GRN Quality </w:t>
      </w:r>
    </w:p>
    <w:p w14:paraId="709F5BBB" w14:textId="2C8EF7FE" w:rsidR="00A36C04" w:rsidRDefault="00A36C04"/>
    <w:p w14:paraId="5B18DACA" w14:textId="6A592845" w:rsidR="00BB216E" w:rsidRPr="00BB216E" w:rsidRDefault="00BB216E" w:rsidP="00BB216E">
      <w:pPr>
        <w:rPr>
          <w:rFonts w:ascii="Times New Roman" w:eastAsia="Times New Roman" w:hAnsi="Times New Roman" w:cs="Times New Roman"/>
        </w:rPr>
      </w:pPr>
      <w:r w:rsidRPr="00BB216E">
        <w:rPr>
          <w:rFonts w:ascii="Times New Roman" w:eastAsia="Times New Roman" w:hAnsi="Times New Roman" w:cs="Times New Roman"/>
        </w:rPr>
        <w:fldChar w:fldCharType="begin"/>
      </w:r>
      <w:r w:rsidRPr="00BB216E">
        <w:rPr>
          <w:rFonts w:ascii="Times New Roman" w:eastAsia="Times New Roman" w:hAnsi="Times New Roman" w:cs="Times New Roman"/>
        </w:rPr>
        <w:instrText xml:space="preserve"> INCLUDEPICTURE "https://encrypted-tbn0.gstatic.com/images?q=tbn:ANd9GcRkL-QFMKJUeOpUi00Yv8m18GDmiHkslc22zQ&amp;usqp=CAU" \* MERGEFORMATINET </w:instrText>
      </w:r>
      <w:r w:rsidRPr="00BB216E">
        <w:rPr>
          <w:rFonts w:ascii="Times New Roman" w:eastAsia="Times New Roman" w:hAnsi="Times New Roman" w:cs="Times New Roman"/>
        </w:rPr>
        <w:fldChar w:fldCharType="separate"/>
      </w:r>
      <w:r w:rsidRPr="00BB216E">
        <w:rPr>
          <w:rFonts w:ascii="Times New Roman" w:eastAsia="Times New Roman" w:hAnsi="Times New Roman" w:cs="Times New Roman"/>
          <w:noProof/>
        </w:rPr>
        <w:drawing>
          <wp:inline distT="0" distB="0" distL="0" distR="0" wp14:anchorId="39F3DAAC" wp14:editId="25167A28">
            <wp:extent cx="3342005" cy="244030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42005" cy="2440305"/>
                    </a:xfrm>
                    <a:prstGeom prst="rect">
                      <a:avLst/>
                    </a:prstGeom>
                    <a:noFill/>
                    <a:ln>
                      <a:noFill/>
                    </a:ln>
                  </pic:spPr>
                </pic:pic>
              </a:graphicData>
            </a:graphic>
          </wp:inline>
        </w:drawing>
      </w:r>
      <w:r w:rsidRPr="00BB216E">
        <w:rPr>
          <w:rFonts w:ascii="Times New Roman" w:eastAsia="Times New Roman" w:hAnsi="Times New Roman" w:cs="Times New Roman"/>
        </w:rPr>
        <w:fldChar w:fldCharType="end"/>
      </w:r>
    </w:p>
    <w:p w14:paraId="16F981DB" w14:textId="77777777" w:rsidR="00BB216E" w:rsidRDefault="00BB216E" w:rsidP="00BB216E">
      <w:pPr>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Figure S17: Gene regulatory network of early Drosophila development. Not all regulations are</w:t>
      </w:r>
    </w:p>
    <w:p w14:paraId="7CF770CB" w14:textId="77777777" w:rsidR="00BB216E" w:rsidRDefault="00BB216E" w:rsidP="00BB216E">
      <w:pPr>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 xml:space="preserve">represented, nor pair-rule genes odd &amp; </w:t>
      </w:r>
      <w:proofErr w:type="spellStart"/>
      <w:r>
        <w:rPr>
          <w:rFonts w:ascii="Times New Roman" w:hAnsi="Times New Roman" w:cs="Times New Roman"/>
          <w:sz w:val="22"/>
          <w:szCs w:val="22"/>
        </w:rPr>
        <w:t>prd</w:t>
      </w:r>
      <w:proofErr w:type="spellEnd"/>
      <w:r>
        <w:rPr>
          <w:rFonts w:ascii="Times New Roman" w:hAnsi="Times New Roman" w:cs="Times New Roman"/>
          <w:sz w:val="22"/>
          <w:szCs w:val="22"/>
        </w:rPr>
        <w:t>. Frequently selected genes are represented in bold.</w:t>
      </w:r>
    </w:p>
    <w:p w14:paraId="03CC83D9" w14:textId="4557A77A" w:rsidR="00A36C04" w:rsidRDefault="00BB216E" w:rsidP="00BB216E">
      <w:pPr>
        <w:rPr>
          <w:rFonts w:ascii="Times New Roman" w:hAnsi="Times New Roman" w:cs="Times New Roman"/>
          <w:sz w:val="22"/>
          <w:szCs w:val="22"/>
        </w:rPr>
      </w:pPr>
      <w:r>
        <w:rPr>
          <w:rFonts w:ascii="Times New Roman" w:hAnsi="Times New Roman" w:cs="Times New Roman"/>
          <w:sz w:val="22"/>
          <w:szCs w:val="22"/>
        </w:rPr>
        <w:t>37</w:t>
      </w:r>
    </w:p>
    <w:p w14:paraId="4EC0C597" w14:textId="54691CA1" w:rsidR="00BB216E" w:rsidRDefault="00BB216E" w:rsidP="00BB216E">
      <w:pPr>
        <w:rPr>
          <w:rFonts w:ascii="Times New Roman" w:hAnsi="Times New Roman" w:cs="Times New Roman"/>
          <w:sz w:val="22"/>
          <w:szCs w:val="22"/>
        </w:rPr>
      </w:pPr>
    </w:p>
    <w:p w14:paraId="5F7C201B" w14:textId="00A27961" w:rsidR="00BB216E" w:rsidRPr="00093675" w:rsidRDefault="00093675" w:rsidP="00BB216E">
      <w:pPr>
        <w:rPr>
          <w:b/>
          <w:bCs/>
          <w:i/>
          <w:iCs/>
        </w:rPr>
      </w:pPr>
      <w:r w:rsidRPr="00093675">
        <w:rPr>
          <w:rFonts w:ascii="Times New Roman" w:hAnsi="Times New Roman" w:cs="Times New Roman"/>
          <w:b/>
          <w:bCs/>
          <w:i/>
          <w:iCs/>
          <w:sz w:val="22"/>
          <w:szCs w:val="22"/>
        </w:rPr>
        <w:t>Little trust in details of this scheme. Not referenced meaningfully in paper.</w:t>
      </w:r>
    </w:p>
    <w:p w14:paraId="29D395D7" w14:textId="35283126" w:rsidR="00A36C04" w:rsidRDefault="00A36C04"/>
    <w:p w14:paraId="61F242B0" w14:textId="741733CF" w:rsidR="00A36C04" w:rsidRDefault="00A36C04"/>
    <w:p w14:paraId="392B8788" w14:textId="0038F781" w:rsidR="00093675" w:rsidRDefault="00093675">
      <w:r w:rsidRPr="00093675">
        <w:drawing>
          <wp:inline distT="0" distB="0" distL="0" distR="0" wp14:anchorId="247BD254" wp14:editId="3D40986A">
            <wp:extent cx="5397500" cy="35433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
                    <a:stretch>
                      <a:fillRect/>
                    </a:stretch>
                  </pic:blipFill>
                  <pic:spPr>
                    <a:xfrm>
                      <a:off x="0" y="0"/>
                      <a:ext cx="5397500" cy="3543300"/>
                    </a:xfrm>
                    <a:prstGeom prst="rect">
                      <a:avLst/>
                    </a:prstGeom>
                  </pic:spPr>
                </pic:pic>
              </a:graphicData>
            </a:graphic>
          </wp:inline>
        </w:drawing>
      </w:r>
    </w:p>
    <w:p w14:paraId="25609DF0" w14:textId="0697C799" w:rsidR="00093675" w:rsidRDefault="00093675"/>
    <w:p w14:paraId="07D0F008" w14:textId="265405B4" w:rsidR="00093675" w:rsidRDefault="00093675">
      <w:r>
        <w:lastRenderedPageBreak/>
        <w:t>High trust, although the model is simplified, even the connectionist model.</w:t>
      </w:r>
      <w:r w:rsidR="007C63CB">
        <w:t xml:space="preserve"> We don’t have pair-rule genes in this model.</w:t>
      </w:r>
    </w:p>
    <w:p w14:paraId="006B80F1" w14:textId="373E5A05" w:rsidR="007C63CB" w:rsidRDefault="007C63CB"/>
    <w:p w14:paraId="6E103BB2" w14:textId="7FCF04B6" w:rsidR="007C63CB" w:rsidRDefault="007C63CB"/>
    <w:p w14:paraId="43F4AD6F" w14:textId="1CAE43C8" w:rsidR="007C63CB" w:rsidRDefault="007C63CB"/>
    <w:p w14:paraId="646B1BEE" w14:textId="101A9149" w:rsidR="007C63CB" w:rsidRDefault="007C63CB">
      <w:r w:rsidRPr="007C63CB">
        <w:drawing>
          <wp:inline distT="0" distB="0" distL="0" distR="0" wp14:anchorId="66444A66" wp14:editId="64E723B0">
            <wp:extent cx="5397500" cy="4330700"/>
            <wp:effectExtent l="0" t="0" r="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6"/>
                    <a:stretch>
                      <a:fillRect/>
                    </a:stretch>
                  </pic:blipFill>
                  <pic:spPr>
                    <a:xfrm>
                      <a:off x="0" y="0"/>
                      <a:ext cx="5397500" cy="4330700"/>
                    </a:xfrm>
                    <a:prstGeom prst="rect">
                      <a:avLst/>
                    </a:prstGeom>
                  </pic:spPr>
                </pic:pic>
              </a:graphicData>
            </a:graphic>
          </wp:inline>
        </w:drawing>
      </w:r>
    </w:p>
    <w:p w14:paraId="44930661" w14:textId="50A176EB" w:rsidR="007C63CB" w:rsidRDefault="007C63CB">
      <w:r>
        <w:t>No pair rule genes. Paper hasn’t been published (</w:t>
      </w:r>
      <w:proofErr w:type="spellStart"/>
      <w:r>
        <w:t>BioRivX</w:t>
      </w:r>
      <w:proofErr w:type="spellEnd"/>
      <w:r>
        <w:t xml:space="preserve"> only). The paper references Jaeger as the source of the gap gene interactions.</w:t>
      </w:r>
    </w:p>
    <w:p w14:paraId="612B0297" w14:textId="125101B7" w:rsidR="007C63CB" w:rsidRDefault="007C63CB"/>
    <w:p w14:paraId="48BB76BD" w14:textId="5AC6FF69" w:rsidR="007C63CB" w:rsidRDefault="007C63CB"/>
    <w:p w14:paraId="06DF84D9" w14:textId="77777777" w:rsidR="007C63CB" w:rsidRPr="007C63CB" w:rsidRDefault="007C63CB" w:rsidP="007C63CB">
      <w:pPr>
        <w:rPr>
          <w:rFonts w:ascii="Times New Roman" w:eastAsia="Times New Roman" w:hAnsi="Times New Roman" w:cs="Times New Roman"/>
        </w:rPr>
      </w:pPr>
      <w:r w:rsidRPr="007C63CB">
        <w:rPr>
          <w:rFonts w:ascii="Roboto" w:eastAsia="Times New Roman" w:hAnsi="Roboto" w:cs="Times New Roman"/>
          <w:color w:val="333333"/>
          <w:sz w:val="21"/>
          <w:szCs w:val="21"/>
          <w:shd w:val="clear" w:color="auto" w:fill="FFFFFF"/>
        </w:rPr>
        <w:t xml:space="preserve">Figure 4. Gap Gene Network. A) Interaction network of the gap genes and maternal-effect genes. It is still unclear the strength of all these interactions. B) Comparison between in vivo and in silico gap-gene expression regions. Hb presents a full expression from the anterior end to the center and a smaller band near the posterior border. In the simulations, we reproduced these behaviors. Kr is expressed in a central band, although this band is wider in the in vivo results. Also, in both cases, Gt is expressed in two bands bordering the central region. In our model we have expression of giant in the anterior end region. This could be due our model does not simulate most of the terminal genes, a group of genes which is only expressed in the terminal regions and with a great influence there. Finally, </w:t>
      </w:r>
      <w:proofErr w:type="spellStart"/>
      <w:r w:rsidRPr="007C63CB">
        <w:rPr>
          <w:rFonts w:ascii="Roboto" w:eastAsia="Times New Roman" w:hAnsi="Roboto" w:cs="Times New Roman"/>
          <w:color w:val="333333"/>
          <w:sz w:val="21"/>
          <w:szCs w:val="21"/>
          <w:shd w:val="clear" w:color="auto" w:fill="FFFFFF"/>
        </w:rPr>
        <w:t>Kni</w:t>
      </w:r>
      <w:proofErr w:type="spellEnd"/>
      <w:r w:rsidRPr="007C63CB">
        <w:rPr>
          <w:rFonts w:ascii="Roboto" w:eastAsia="Times New Roman" w:hAnsi="Roboto" w:cs="Times New Roman"/>
          <w:color w:val="333333"/>
          <w:sz w:val="21"/>
          <w:szCs w:val="21"/>
          <w:shd w:val="clear" w:color="auto" w:fill="FFFFFF"/>
        </w:rPr>
        <w:t xml:space="preserve"> is correctly expressed in our model in the central </w:t>
      </w:r>
      <w:proofErr w:type="gramStart"/>
      <w:r w:rsidRPr="007C63CB">
        <w:rPr>
          <w:rFonts w:ascii="Roboto" w:eastAsia="Times New Roman" w:hAnsi="Roboto" w:cs="Times New Roman"/>
          <w:color w:val="333333"/>
          <w:sz w:val="21"/>
          <w:szCs w:val="21"/>
          <w:shd w:val="clear" w:color="auto" w:fill="FFFFFF"/>
        </w:rPr>
        <w:t>region</w:t>
      </w:r>
      <w:proofErr w:type="gramEnd"/>
      <w:r w:rsidRPr="007C63CB">
        <w:rPr>
          <w:rFonts w:ascii="Roboto" w:eastAsia="Times New Roman" w:hAnsi="Roboto" w:cs="Times New Roman"/>
          <w:color w:val="333333"/>
          <w:sz w:val="21"/>
          <w:szCs w:val="21"/>
          <w:shd w:val="clear" w:color="auto" w:fill="FFFFFF"/>
        </w:rPr>
        <w:t xml:space="preserve"> but it lacks the small anterior band. This also could be caused by the lack of many terminal genes in our model.</w:t>
      </w:r>
    </w:p>
    <w:p w14:paraId="1F413550" w14:textId="1940519A" w:rsidR="007C63CB" w:rsidRDefault="007C63CB"/>
    <w:p w14:paraId="53872EF3" w14:textId="04210E5A" w:rsidR="007C63CB" w:rsidRDefault="007C63CB"/>
    <w:p w14:paraId="03303FA8" w14:textId="6D06C2E8" w:rsidR="007C63CB" w:rsidRDefault="007C63CB"/>
    <w:p w14:paraId="377024F0" w14:textId="5A4C8F32" w:rsidR="007C63CB" w:rsidRDefault="007C63CB">
      <w:r>
        <w:rPr>
          <w:noProof/>
        </w:rPr>
        <w:lastRenderedPageBreak/>
        <w:drawing>
          <wp:inline distT="0" distB="0" distL="0" distR="0" wp14:anchorId="3473E534" wp14:editId="1894A3AB">
            <wp:extent cx="5943600" cy="2910205"/>
            <wp:effectExtent l="0" t="0" r="0" b="0"/>
            <wp:docPr id="4" name="Picture 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10205"/>
                    </a:xfrm>
                    <a:prstGeom prst="rect">
                      <a:avLst/>
                    </a:prstGeom>
                  </pic:spPr>
                </pic:pic>
              </a:graphicData>
            </a:graphic>
          </wp:inline>
        </w:drawing>
      </w:r>
    </w:p>
    <w:p w14:paraId="461E605C" w14:textId="20027391" w:rsidR="004B0C0F" w:rsidRDefault="004B0C0F" w:rsidP="004B0C0F">
      <w:pPr>
        <w:autoSpaceDE w:val="0"/>
        <w:autoSpaceDN w:val="0"/>
        <w:adjustRightInd w:val="0"/>
      </w:pPr>
      <w:r>
        <w:t xml:space="preserve">Fig 1A from Clark, </w:t>
      </w:r>
      <w:r w:rsidRPr="004B0C0F">
        <w:t>Dynamic patterning by the Drosophila pair</w:t>
      </w:r>
      <w:r>
        <w:t xml:space="preserve"> </w:t>
      </w:r>
      <w:r w:rsidRPr="004B0C0F">
        <w:t>rule</w:t>
      </w:r>
      <w:r>
        <w:t xml:space="preserve"> </w:t>
      </w:r>
      <w:r w:rsidRPr="004B0C0F">
        <w:t>network reconciles long-germ and short</w:t>
      </w:r>
      <w:r>
        <w:t xml:space="preserve"> </w:t>
      </w:r>
      <w:r w:rsidRPr="004B0C0F">
        <w:t>germ</w:t>
      </w:r>
      <w:r>
        <w:t xml:space="preserve"> </w:t>
      </w:r>
      <w:r w:rsidRPr="004B0C0F">
        <w:t>segmentation</w:t>
      </w:r>
      <w:r>
        <w:t xml:space="preserve"> </w:t>
      </w:r>
      <w:proofErr w:type="spellStart"/>
      <w:r>
        <w:t>PloS</w:t>
      </w:r>
      <w:proofErr w:type="spellEnd"/>
      <w:r>
        <w:t xml:space="preserve"> Biology 2017. </w:t>
      </w:r>
    </w:p>
    <w:p w14:paraId="19184FD4" w14:textId="54BB3CCD" w:rsidR="004B0C0F" w:rsidRDefault="004B0C0F" w:rsidP="004B0C0F">
      <w:pPr>
        <w:autoSpaceDE w:val="0"/>
        <w:autoSpaceDN w:val="0"/>
        <w:adjustRightInd w:val="0"/>
      </w:pPr>
    </w:p>
    <w:p w14:paraId="2E185493" w14:textId="0D6E76BB" w:rsidR="004B0C0F" w:rsidRDefault="004B0C0F" w:rsidP="004B0C0F">
      <w:pPr>
        <w:autoSpaceDE w:val="0"/>
        <w:autoSpaceDN w:val="0"/>
        <w:adjustRightInd w:val="0"/>
      </w:pPr>
      <w:r>
        <w:t>This is a worthwhile paper and figure. We only need to consider the “Early network”</w:t>
      </w:r>
    </w:p>
    <w:p w14:paraId="61CD96CF" w14:textId="271F69DA" w:rsidR="003E74BF" w:rsidRDefault="003E74BF" w:rsidP="004B0C0F">
      <w:pPr>
        <w:autoSpaceDE w:val="0"/>
        <w:autoSpaceDN w:val="0"/>
        <w:adjustRightInd w:val="0"/>
      </w:pPr>
    </w:p>
    <w:p w14:paraId="7B2CA430" w14:textId="7AA3B707" w:rsidR="003E74BF" w:rsidRDefault="003E74BF" w:rsidP="004B0C0F">
      <w:pPr>
        <w:autoSpaceDE w:val="0"/>
        <w:autoSpaceDN w:val="0"/>
        <w:adjustRightInd w:val="0"/>
      </w:pPr>
    </w:p>
    <w:p w14:paraId="75B16F77" w14:textId="78D1B91E" w:rsidR="003E74BF" w:rsidRDefault="003E74BF" w:rsidP="004B0C0F">
      <w:pPr>
        <w:autoSpaceDE w:val="0"/>
        <w:autoSpaceDN w:val="0"/>
        <w:adjustRightInd w:val="0"/>
      </w:pPr>
    </w:p>
    <w:p w14:paraId="20B7AC63" w14:textId="415D0870" w:rsidR="003E74BF" w:rsidRDefault="003E74BF" w:rsidP="004B0C0F">
      <w:pPr>
        <w:autoSpaceDE w:val="0"/>
        <w:autoSpaceDN w:val="0"/>
        <w:adjustRightInd w:val="0"/>
      </w:pPr>
    </w:p>
    <w:p w14:paraId="29198C8D" w14:textId="447C442F" w:rsidR="003E74BF" w:rsidRDefault="003E74BF" w:rsidP="004B0C0F">
      <w:pPr>
        <w:autoSpaceDE w:val="0"/>
        <w:autoSpaceDN w:val="0"/>
        <w:adjustRightInd w:val="0"/>
      </w:pPr>
      <w:r w:rsidRPr="003E74BF">
        <w:drawing>
          <wp:inline distT="0" distB="0" distL="0" distR="0" wp14:anchorId="6E50A859" wp14:editId="2757400A">
            <wp:extent cx="2095500" cy="1854200"/>
            <wp:effectExtent l="0" t="0" r="0" b="0"/>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pic:nvPicPr>
                  <pic:blipFill>
                    <a:blip r:embed="rId8"/>
                    <a:stretch>
                      <a:fillRect/>
                    </a:stretch>
                  </pic:blipFill>
                  <pic:spPr>
                    <a:xfrm>
                      <a:off x="0" y="0"/>
                      <a:ext cx="2095500" cy="1854200"/>
                    </a:xfrm>
                    <a:prstGeom prst="rect">
                      <a:avLst/>
                    </a:prstGeom>
                  </pic:spPr>
                </pic:pic>
              </a:graphicData>
            </a:graphic>
          </wp:inline>
        </w:drawing>
      </w:r>
    </w:p>
    <w:p w14:paraId="2F373680" w14:textId="77777777" w:rsidR="003E74BF" w:rsidRDefault="003E74BF" w:rsidP="003E74BF">
      <w:pPr>
        <w:autoSpaceDE w:val="0"/>
        <w:autoSpaceDN w:val="0"/>
        <w:adjustRightInd w:val="0"/>
        <w:rPr>
          <w:rFonts w:ascii="Times New Roman" w:hAnsi="Times New Roman" w:cs="Times New Roman"/>
          <w:sz w:val="17"/>
          <w:szCs w:val="17"/>
        </w:rPr>
      </w:pPr>
      <w:r>
        <w:rPr>
          <w:rFonts w:ascii="Times New Roman" w:hAnsi="Times New Roman" w:cs="Times New Roman"/>
          <w:sz w:val="17"/>
          <w:szCs w:val="17"/>
        </w:rPr>
        <w:t>Fig. 3 Early versus late gap gene regulation. Gap gene regulation can</w:t>
      </w:r>
    </w:p>
    <w:p w14:paraId="74329541" w14:textId="77777777" w:rsidR="003E74BF" w:rsidRDefault="003E74BF" w:rsidP="003E74BF">
      <w:pPr>
        <w:autoSpaceDE w:val="0"/>
        <w:autoSpaceDN w:val="0"/>
        <w:adjustRightInd w:val="0"/>
        <w:rPr>
          <w:rFonts w:ascii="Times New Roman" w:hAnsi="Times New Roman" w:cs="Times New Roman"/>
          <w:sz w:val="17"/>
          <w:szCs w:val="17"/>
        </w:rPr>
      </w:pPr>
      <w:r>
        <w:rPr>
          <w:rFonts w:ascii="Times New Roman" w:hAnsi="Times New Roman" w:cs="Times New Roman"/>
          <w:sz w:val="17"/>
          <w:szCs w:val="17"/>
        </w:rPr>
        <w:t>be divided into two distinct phases: early regulation of gap mRNA</w:t>
      </w:r>
    </w:p>
    <w:p w14:paraId="5394C6C3" w14:textId="77777777" w:rsidR="003E74BF" w:rsidRDefault="003E74BF" w:rsidP="003E74BF">
      <w:pPr>
        <w:autoSpaceDE w:val="0"/>
        <w:autoSpaceDN w:val="0"/>
        <w:adjustRightInd w:val="0"/>
        <w:rPr>
          <w:rFonts w:ascii="Times New Roman" w:hAnsi="Times New Roman" w:cs="Times New Roman"/>
          <w:sz w:val="17"/>
          <w:szCs w:val="17"/>
        </w:rPr>
      </w:pPr>
      <w:r>
        <w:rPr>
          <w:rFonts w:ascii="Times New Roman" w:hAnsi="Times New Roman" w:cs="Times New Roman"/>
          <w:sz w:val="17"/>
          <w:szCs w:val="17"/>
        </w:rPr>
        <w:t xml:space="preserve">domains </w:t>
      </w:r>
      <w:proofErr w:type="gramStart"/>
      <w:r>
        <w:rPr>
          <w:rFonts w:ascii="Times New Roman" w:hAnsi="Times New Roman" w:cs="Times New Roman"/>
          <w:sz w:val="17"/>
          <w:szCs w:val="17"/>
        </w:rPr>
        <w:t>is</w:t>
      </w:r>
      <w:proofErr w:type="gramEnd"/>
      <w:r>
        <w:rPr>
          <w:rFonts w:ascii="Times New Roman" w:hAnsi="Times New Roman" w:cs="Times New Roman"/>
          <w:sz w:val="17"/>
          <w:szCs w:val="17"/>
        </w:rPr>
        <w:t xml:space="preserve"> based on maternal gradients only, while late regulation of</w:t>
      </w:r>
    </w:p>
    <w:p w14:paraId="0D9A1344" w14:textId="77777777" w:rsidR="003E74BF" w:rsidRDefault="003E74BF" w:rsidP="003E74BF">
      <w:pPr>
        <w:autoSpaceDE w:val="0"/>
        <w:autoSpaceDN w:val="0"/>
        <w:adjustRightInd w:val="0"/>
        <w:rPr>
          <w:rFonts w:ascii="Times New Roman" w:hAnsi="Times New Roman" w:cs="Times New Roman"/>
          <w:sz w:val="17"/>
          <w:szCs w:val="17"/>
        </w:rPr>
      </w:pPr>
      <w:r>
        <w:rPr>
          <w:rFonts w:ascii="Times New Roman" w:hAnsi="Times New Roman" w:cs="Times New Roman"/>
          <w:sz w:val="17"/>
          <w:szCs w:val="17"/>
        </w:rPr>
        <w:t xml:space="preserve">protein domains </w:t>
      </w:r>
      <w:proofErr w:type="gramStart"/>
      <w:r>
        <w:rPr>
          <w:rFonts w:ascii="Times New Roman" w:hAnsi="Times New Roman" w:cs="Times New Roman"/>
          <w:sz w:val="17"/>
          <w:szCs w:val="17"/>
        </w:rPr>
        <w:t>involves</w:t>
      </w:r>
      <w:proofErr w:type="gramEnd"/>
      <w:r>
        <w:rPr>
          <w:rFonts w:ascii="Times New Roman" w:hAnsi="Times New Roman" w:cs="Times New Roman"/>
          <w:sz w:val="17"/>
          <w:szCs w:val="17"/>
        </w:rPr>
        <w:t xml:space="preserve"> gap–gap cross-regulatory interactions. The</w:t>
      </w:r>
    </w:p>
    <w:p w14:paraId="6AE1C4CF" w14:textId="77777777" w:rsidR="003E74BF" w:rsidRDefault="003E74BF" w:rsidP="003E74BF">
      <w:pPr>
        <w:autoSpaceDE w:val="0"/>
        <w:autoSpaceDN w:val="0"/>
        <w:adjustRightInd w:val="0"/>
        <w:rPr>
          <w:rFonts w:ascii="Times New Roman" w:hAnsi="Times New Roman" w:cs="Times New Roman"/>
          <w:sz w:val="17"/>
          <w:szCs w:val="17"/>
        </w:rPr>
      </w:pPr>
      <w:r>
        <w:rPr>
          <w:rFonts w:ascii="Times New Roman" w:hAnsi="Times New Roman" w:cs="Times New Roman"/>
          <w:sz w:val="17"/>
          <w:szCs w:val="17"/>
        </w:rPr>
        <w:t>position of gap domains along the major, or antero-posterior (A–P)</w:t>
      </w:r>
    </w:p>
    <w:p w14:paraId="7248205F" w14:textId="77777777" w:rsidR="003E74BF" w:rsidRDefault="003E74BF" w:rsidP="003E74BF">
      <w:pPr>
        <w:autoSpaceDE w:val="0"/>
        <w:autoSpaceDN w:val="0"/>
        <w:adjustRightInd w:val="0"/>
        <w:rPr>
          <w:rFonts w:ascii="Times New Roman" w:hAnsi="Times New Roman" w:cs="Times New Roman"/>
          <w:sz w:val="17"/>
          <w:szCs w:val="17"/>
        </w:rPr>
      </w:pPr>
      <w:r>
        <w:rPr>
          <w:rFonts w:ascii="Times New Roman" w:hAnsi="Times New Roman" w:cs="Times New Roman"/>
          <w:sz w:val="17"/>
          <w:szCs w:val="17"/>
        </w:rPr>
        <w:t>axis of the embryo is shown schematically as colored boxes. Only the</w:t>
      </w:r>
    </w:p>
    <w:p w14:paraId="540EE15C" w14:textId="77777777" w:rsidR="003E74BF" w:rsidRDefault="003E74BF" w:rsidP="003E74BF">
      <w:pPr>
        <w:autoSpaceDE w:val="0"/>
        <w:autoSpaceDN w:val="0"/>
        <w:adjustRightInd w:val="0"/>
        <w:rPr>
          <w:rFonts w:ascii="Times New Roman" w:hAnsi="Times New Roman" w:cs="Times New Roman"/>
          <w:sz w:val="17"/>
          <w:szCs w:val="17"/>
        </w:rPr>
      </w:pPr>
      <w:r>
        <w:rPr>
          <w:rFonts w:ascii="Times New Roman" w:hAnsi="Times New Roman" w:cs="Times New Roman"/>
          <w:sz w:val="17"/>
          <w:szCs w:val="17"/>
        </w:rPr>
        <w:t>trunk region of the embryo (approx. 35–95% A–P position) is</w:t>
      </w:r>
    </w:p>
    <w:p w14:paraId="59E86235" w14:textId="77777777" w:rsidR="003E74BF" w:rsidRDefault="003E74BF" w:rsidP="003E74BF">
      <w:pPr>
        <w:autoSpaceDE w:val="0"/>
        <w:autoSpaceDN w:val="0"/>
        <w:adjustRightInd w:val="0"/>
        <w:rPr>
          <w:rFonts w:ascii="Times New Roman" w:hAnsi="Times New Roman" w:cs="Times New Roman"/>
          <w:sz w:val="17"/>
          <w:szCs w:val="17"/>
        </w:rPr>
      </w:pPr>
      <w:r>
        <w:rPr>
          <w:rFonts w:ascii="Times New Roman" w:hAnsi="Times New Roman" w:cs="Times New Roman"/>
          <w:sz w:val="17"/>
          <w:szCs w:val="17"/>
        </w:rPr>
        <w:t>included in the diagram. Anterior is to the left, posterior to the right.</w:t>
      </w:r>
    </w:p>
    <w:p w14:paraId="430C78A6" w14:textId="77777777" w:rsidR="003E74BF" w:rsidRDefault="003E74BF" w:rsidP="003E74BF">
      <w:pPr>
        <w:autoSpaceDE w:val="0"/>
        <w:autoSpaceDN w:val="0"/>
        <w:adjustRightInd w:val="0"/>
        <w:rPr>
          <w:rFonts w:ascii="Times New Roman" w:hAnsi="Times New Roman" w:cs="Times New Roman"/>
          <w:sz w:val="17"/>
          <w:szCs w:val="17"/>
        </w:rPr>
      </w:pPr>
      <w:r>
        <w:rPr>
          <w:rFonts w:ascii="Times New Roman" w:hAnsi="Times New Roman" w:cs="Times New Roman"/>
          <w:sz w:val="17"/>
          <w:szCs w:val="17"/>
        </w:rPr>
        <w:t xml:space="preserve">Background color represents activating inputs by </w:t>
      </w:r>
      <w:proofErr w:type="spellStart"/>
      <w:r>
        <w:rPr>
          <w:rFonts w:ascii="Times New Roman" w:hAnsi="Times New Roman" w:cs="Times New Roman"/>
          <w:sz w:val="17"/>
          <w:szCs w:val="17"/>
        </w:rPr>
        <w:t>Bcd</w:t>
      </w:r>
      <w:proofErr w:type="spellEnd"/>
      <w:r>
        <w:rPr>
          <w:rFonts w:ascii="Times New Roman" w:hAnsi="Times New Roman" w:cs="Times New Roman"/>
          <w:sz w:val="17"/>
          <w:szCs w:val="17"/>
        </w:rPr>
        <w:t xml:space="preserve"> and Cad. Top</w:t>
      </w:r>
    </w:p>
    <w:p w14:paraId="507D59A3" w14:textId="77777777" w:rsidR="003E74BF" w:rsidRDefault="003E74BF" w:rsidP="003E74BF">
      <w:pPr>
        <w:autoSpaceDE w:val="0"/>
        <w:autoSpaceDN w:val="0"/>
        <w:adjustRightInd w:val="0"/>
        <w:rPr>
          <w:rFonts w:ascii="Times New Roman" w:hAnsi="Times New Roman" w:cs="Times New Roman"/>
          <w:sz w:val="17"/>
          <w:szCs w:val="17"/>
        </w:rPr>
      </w:pPr>
      <w:r>
        <w:rPr>
          <w:rFonts w:ascii="Times New Roman" w:hAnsi="Times New Roman" w:cs="Times New Roman"/>
          <w:sz w:val="17"/>
          <w:szCs w:val="17"/>
        </w:rPr>
        <w:t>panel: arrowheads represent activating; T-bars represent repressive</w:t>
      </w:r>
    </w:p>
    <w:p w14:paraId="73E49A2E" w14:textId="77777777" w:rsidR="003E74BF" w:rsidRDefault="003E74BF" w:rsidP="003E74BF">
      <w:pPr>
        <w:autoSpaceDE w:val="0"/>
        <w:autoSpaceDN w:val="0"/>
        <w:adjustRightInd w:val="0"/>
        <w:rPr>
          <w:rFonts w:ascii="Times New Roman" w:hAnsi="Times New Roman" w:cs="Times New Roman"/>
          <w:sz w:val="17"/>
          <w:szCs w:val="17"/>
        </w:rPr>
      </w:pPr>
      <w:r>
        <w:rPr>
          <w:rFonts w:ascii="Times New Roman" w:hAnsi="Times New Roman" w:cs="Times New Roman"/>
          <w:sz w:val="17"/>
          <w:szCs w:val="17"/>
        </w:rPr>
        <w:t>inputs responsible for setting specific domain boundaries. Bottom</w:t>
      </w:r>
    </w:p>
    <w:p w14:paraId="23FBB9FE" w14:textId="77777777" w:rsidR="003E74BF" w:rsidRDefault="003E74BF" w:rsidP="003E74BF">
      <w:pPr>
        <w:autoSpaceDE w:val="0"/>
        <w:autoSpaceDN w:val="0"/>
        <w:adjustRightInd w:val="0"/>
        <w:rPr>
          <w:rFonts w:ascii="Times New Roman" w:hAnsi="Times New Roman" w:cs="Times New Roman"/>
          <w:sz w:val="17"/>
          <w:szCs w:val="17"/>
        </w:rPr>
      </w:pPr>
      <w:r>
        <w:rPr>
          <w:rFonts w:ascii="Times New Roman" w:hAnsi="Times New Roman" w:cs="Times New Roman"/>
          <w:sz w:val="17"/>
          <w:szCs w:val="17"/>
        </w:rPr>
        <w:t>panel: arrows and T-bars represent activating and repressive gap–gap</w:t>
      </w:r>
    </w:p>
    <w:p w14:paraId="0B1B12AE" w14:textId="77777777" w:rsidR="003E74BF" w:rsidRDefault="003E74BF" w:rsidP="003E74BF">
      <w:pPr>
        <w:autoSpaceDE w:val="0"/>
        <w:autoSpaceDN w:val="0"/>
        <w:adjustRightInd w:val="0"/>
        <w:rPr>
          <w:rFonts w:ascii="Times New Roman" w:hAnsi="Times New Roman" w:cs="Times New Roman"/>
          <w:sz w:val="17"/>
          <w:szCs w:val="17"/>
        </w:rPr>
      </w:pPr>
      <w:r>
        <w:rPr>
          <w:rFonts w:ascii="Times New Roman" w:hAnsi="Times New Roman" w:cs="Times New Roman"/>
          <w:sz w:val="17"/>
          <w:szCs w:val="17"/>
        </w:rPr>
        <w:t>cross-regulation, respectively. Circular arrows represent auto-activation.</w:t>
      </w:r>
    </w:p>
    <w:p w14:paraId="28A842AD" w14:textId="77777777" w:rsidR="003E74BF" w:rsidRDefault="003E74BF" w:rsidP="003E74BF">
      <w:pPr>
        <w:autoSpaceDE w:val="0"/>
        <w:autoSpaceDN w:val="0"/>
        <w:adjustRightInd w:val="0"/>
        <w:rPr>
          <w:rFonts w:ascii="Times New Roman" w:hAnsi="Times New Roman" w:cs="Times New Roman"/>
          <w:sz w:val="17"/>
          <w:szCs w:val="17"/>
        </w:rPr>
      </w:pPr>
      <w:r>
        <w:rPr>
          <w:rFonts w:ascii="Times New Roman" w:hAnsi="Times New Roman" w:cs="Times New Roman"/>
          <w:sz w:val="17"/>
          <w:szCs w:val="17"/>
        </w:rPr>
        <w:t>The thickness of the T-bars corresponds to repressive strength.</w:t>
      </w:r>
    </w:p>
    <w:p w14:paraId="5A12B9CB" w14:textId="77777777" w:rsidR="003E74BF" w:rsidRDefault="003E74BF" w:rsidP="003E74BF">
      <w:pPr>
        <w:autoSpaceDE w:val="0"/>
        <w:autoSpaceDN w:val="0"/>
        <w:adjustRightInd w:val="0"/>
        <w:rPr>
          <w:rFonts w:ascii="Times New Roman" w:hAnsi="Times New Roman" w:cs="Times New Roman"/>
          <w:sz w:val="17"/>
          <w:szCs w:val="17"/>
        </w:rPr>
      </w:pPr>
      <w:r>
        <w:rPr>
          <w:rFonts w:ascii="Times New Roman" w:hAnsi="Times New Roman" w:cs="Times New Roman"/>
          <w:sz w:val="17"/>
          <w:szCs w:val="17"/>
        </w:rPr>
        <w:t>Question marks indicate missing or ambiguous evidence, or other</w:t>
      </w:r>
    </w:p>
    <w:p w14:paraId="40D60036" w14:textId="1B6E7D83" w:rsidR="003E74BF" w:rsidRDefault="003E74BF" w:rsidP="003E74BF">
      <w:pPr>
        <w:autoSpaceDE w:val="0"/>
        <w:autoSpaceDN w:val="0"/>
        <w:adjustRightInd w:val="0"/>
      </w:pPr>
      <w:r>
        <w:rPr>
          <w:rFonts w:ascii="Times New Roman" w:hAnsi="Times New Roman" w:cs="Times New Roman"/>
          <w:sz w:val="17"/>
          <w:szCs w:val="17"/>
        </w:rPr>
        <w:lastRenderedPageBreak/>
        <w:t>open questions regarding gap gene regulation (see text for details)</w:t>
      </w:r>
    </w:p>
    <w:p w14:paraId="59409413" w14:textId="676D9CB4" w:rsidR="003E74BF" w:rsidRDefault="003E74BF">
      <w:pPr>
        <w:autoSpaceDE w:val="0"/>
        <w:autoSpaceDN w:val="0"/>
        <w:adjustRightInd w:val="0"/>
      </w:pPr>
    </w:p>
    <w:p w14:paraId="73219568" w14:textId="14A836F0" w:rsidR="003E74BF" w:rsidRDefault="003E74BF">
      <w:pPr>
        <w:autoSpaceDE w:val="0"/>
        <w:autoSpaceDN w:val="0"/>
        <w:adjustRightInd w:val="0"/>
      </w:pPr>
      <w:r>
        <w:t xml:space="preserve">From Jager paper (2011; The Gap Gene Network). This can be believed. </w:t>
      </w:r>
    </w:p>
    <w:p w14:paraId="145048AB" w14:textId="6700736D" w:rsidR="003E74BF" w:rsidRDefault="003E74BF">
      <w:pPr>
        <w:autoSpaceDE w:val="0"/>
        <w:autoSpaceDN w:val="0"/>
        <w:adjustRightInd w:val="0"/>
      </w:pPr>
    </w:p>
    <w:p w14:paraId="17591C5A" w14:textId="5D5C077C" w:rsidR="003E74BF" w:rsidRDefault="003E74BF">
      <w:pPr>
        <w:autoSpaceDE w:val="0"/>
        <w:autoSpaceDN w:val="0"/>
        <w:adjustRightInd w:val="0"/>
      </w:pPr>
    </w:p>
    <w:p w14:paraId="2E981264" w14:textId="1B0640DA" w:rsidR="003E74BF" w:rsidRDefault="003E74BF">
      <w:pPr>
        <w:autoSpaceDE w:val="0"/>
        <w:autoSpaceDN w:val="0"/>
        <w:adjustRightInd w:val="0"/>
      </w:pPr>
    </w:p>
    <w:p w14:paraId="543D18C7" w14:textId="3C17F155" w:rsidR="003E74BF" w:rsidRPr="003E74BF" w:rsidRDefault="003E74BF" w:rsidP="003E74BF">
      <w:pPr>
        <w:rPr>
          <w:rFonts w:ascii="Times New Roman" w:eastAsia="Times New Roman" w:hAnsi="Times New Roman" w:cs="Times New Roman"/>
        </w:rPr>
      </w:pPr>
      <w:r w:rsidRPr="003E74BF">
        <w:rPr>
          <w:rFonts w:ascii="Times New Roman" w:eastAsia="Times New Roman" w:hAnsi="Times New Roman" w:cs="Times New Roman"/>
        </w:rPr>
        <w:fldChar w:fldCharType="begin"/>
      </w:r>
      <w:r w:rsidRPr="003E74BF">
        <w:rPr>
          <w:rFonts w:ascii="Times New Roman" w:eastAsia="Times New Roman" w:hAnsi="Times New Roman" w:cs="Times New Roman"/>
        </w:rPr>
        <w:instrText xml:space="preserve"> INCLUDEPICTURE "https://www.researchgate.net/profile/Rui-Dilao/publication/276462807/figure/fig2/AS:294486598012929@1447222484276/Double-graph-of-interactions-describing-the-genetic-network-associated-with-the-maternal_W640.jpg" \* MERGEFORMATINET </w:instrText>
      </w:r>
      <w:r w:rsidRPr="003E74BF">
        <w:rPr>
          <w:rFonts w:ascii="Times New Roman" w:eastAsia="Times New Roman" w:hAnsi="Times New Roman" w:cs="Times New Roman"/>
        </w:rPr>
        <w:fldChar w:fldCharType="separate"/>
      </w:r>
      <w:r w:rsidRPr="003E74BF">
        <w:rPr>
          <w:rFonts w:ascii="Times New Roman" w:eastAsia="Times New Roman" w:hAnsi="Times New Roman" w:cs="Times New Roman"/>
          <w:noProof/>
        </w:rPr>
        <w:drawing>
          <wp:inline distT="0" distB="0" distL="0" distR="0" wp14:anchorId="7189F306" wp14:editId="72016F4E">
            <wp:extent cx="5943600" cy="4427855"/>
            <wp:effectExtent l="0" t="0" r="0" b="444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27855"/>
                    </a:xfrm>
                    <a:prstGeom prst="rect">
                      <a:avLst/>
                    </a:prstGeom>
                    <a:noFill/>
                    <a:ln>
                      <a:noFill/>
                    </a:ln>
                  </pic:spPr>
                </pic:pic>
              </a:graphicData>
            </a:graphic>
          </wp:inline>
        </w:drawing>
      </w:r>
      <w:r w:rsidRPr="003E74BF">
        <w:rPr>
          <w:rFonts w:ascii="Times New Roman" w:eastAsia="Times New Roman" w:hAnsi="Times New Roman" w:cs="Times New Roman"/>
        </w:rPr>
        <w:fldChar w:fldCharType="end"/>
      </w:r>
    </w:p>
    <w:p w14:paraId="59F2995A" w14:textId="50E799D8" w:rsidR="003E74BF" w:rsidRDefault="003E74BF" w:rsidP="003E74BF">
      <w:pPr>
        <w:autoSpaceDE w:val="0"/>
        <w:autoSpaceDN w:val="0"/>
        <w:adjustRightInd w:val="0"/>
        <w:rPr>
          <w:rFonts w:ascii="Times New Roman" w:hAnsi="Times New Roman" w:cs="Times New Roman"/>
          <w:color w:val="231F20"/>
          <w:sz w:val="20"/>
          <w:szCs w:val="20"/>
        </w:rPr>
      </w:pPr>
      <w:r>
        <w:t xml:space="preserve">This figure is from “Mathematical Models of Morphogenesis” and a journal titled “ITM Web of Conferences” Figure originally appeared in </w:t>
      </w:r>
      <w:r>
        <w:rPr>
          <w:rFonts w:ascii="Times New Roman" w:hAnsi="Times New Roman" w:cs="Times New Roman"/>
          <w:color w:val="231F20"/>
          <w:sz w:val="20"/>
          <w:szCs w:val="20"/>
        </w:rPr>
        <w:t xml:space="preserve">F. Alves and R. </w:t>
      </w:r>
      <w:proofErr w:type="spellStart"/>
      <w:r>
        <w:rPr>
          <w:rFonts w:ascii="Times New Roman" w:hAnsi="Times New Roman" w:cs="Times New Roman"/>
          <w:color w:val="231F20"/>
          <w:sz w:val="20"/>
          <w:szCs w:val="20"/>
        </w:rPr>
        <w:t>Dilão</w:t>
      </w:r>
      <w:proofErr w:type="spellEnd"/>
      <w:r>
        <w:rPr>
          <w:rFonts w:ascii="Times New Roman" w:hAnsi="Times New Roman" w:cs="Times New Roman"/>
          <w:color w:val="231F20"/>
          <w:sz w:val="20"/>
          <w:szCs w:val="20"/>
        </w:rPr>
        <w:t>, Modeling segmental patterning in Drosophila: Maternal and gap genes,</w:t>
      </w:r>
      <w:r>
        <w:rPr>
          <w:rFonts w:ascii="Times New Roman" w:hAnsi="Times New Roman" w:cs="Times New Roman"/>
          <w:color w:val="231F20"/>
          <w:sz w:val="20"/>
          <w:szCs w:val="20"/>
        </w:rPr>
        <w:t xml:space="preserve"> </w:t>
      </w:r>
      <w:r>
        <w:rPr>
          <w:rFonts w:ascii="Times New Roman" w:hAnsi="Times New Roman" w:cs="Times New Roman"/>
          <w:color w:val="231F20"/>
          <w:sz w:val="20"/>
          <w:szCs w:val="20"/>
        </w:rPr>
        <w:t xml:space="preserve">J. </w:t>
      </w:r>
      <w:proofErr w:type="spellStart"/>
      <w:r>
        <w:rPr>
          <w:rFonts w:ascii="Times New Roman" w:hAnsi="Times New Roman" w:cs="Times New Roman"/>
          <w:color w:val="231F20"/>
          <w:sz w:val="20"/>
          <w:szCs w:val="20"/>
        </w:rPr>
        <w:t>Theor</w:t>
      </w:r>
      <w:proofErr w:type="spellEnd"/>
      <w:r>
        <w:rPr>
          <w:rFonts w:ascii="Times New Roman" w:hAnsi="Times New Roman" w:cs="Times New Roman"/>
          <w:color w:val="231F20"/>
          <w:sz w:val="20"/>
          <w:szCs w:val="20"/>
        </w:rPr>
        <w:t>. Biol. 241 (2006) 342-359.</w:t>
      </w:r>
      <w:r>
        <w:rPr>
          <w:rFonts w:ascii="Times New Roman" w:hAnsi="Times New Roman" w:cs="Times New Roman"/>
          <w:color w:val="231F20"/>
          <w:sz w:val="20"/>
          <w:szCs w:val="20"/>
        </w:rPr>
        <w:t xml:space="preserve"> This looks solidly referenced in the J. </w:t>
      </w:r>
      <w:proofErr w:type="spellStart"/>
      <w:r>
        <w:rPr>
          <w:rFonts w:ascii="Times New Roman" w:hAnsi="Times New Roman" w:cs="Times New Roman"/>
          <w:color w:val="231F20"/>
          <w:sz w:val="20"/>
          <w:szCs w:val="20"/>
        </w:rPr>
        <w:t>Theor</w:t>
      </w:r>
      <w:proofErr w:type="spellEnd"/>
      <w:r>
        <w:rPr>
          <w:rFonts w:ascii="Times New Roman" w:hAnsi="Times New Roman" w:cs="Times New Roman"/>
          <w:color w:val="231F20"/>
          <w:sz w:val="20"/>
          <w:szCs w:val="20"/>
        </w:rPr>
        <w:t xml:space="preserve">. Biol. paper. The references are old (largely from the 1990’s) but </w:t>
      </w:r>
      <w:r w:rsidRPr="00E83A7E">
        <w:rPr>
          <w:rFonts w:ascii="Times New Roman" w:hAnsi="Times New Roman" w:cs="Times New Roman"/>
          <w:b/>
          <w:bCs/>
          <w:color w:val="231F20"/>
          <w:sz w:val="20"/>
          <w:szCs w:val="20"/>
        </w:rPr>
        <w:t>are believable</w:t>
      </w:r>
      <w:r>
        <w:rPr>
          <w:rFonts w:ascii="Times New Roman" w:hAnsi="Times New Roman" w:cs="Times New Roman"/>
          <w:color w:val="231F20"/>
          <w:sz w:val="20"/>
          <w:szCs w:val="20"/>
        </w:rPr>
        <w:t xml:space="preserve">. </w:t>
      </w:r>
    </w:p>
    <w:p w14:paraId="5CD7A369" w14:textId="77777777" w:rsidR="003E74BF" w:rsidRPr="003E74BF" w:rsidRDefault="003E74BF" w:rsidP="003E74BF">
      <w:pPr>
        <w:autoSpaceDE w:val="0"/>
        <w:autoSpaceDN w:val="0"/>
        <w:adjustRightInd w:val="0"/>
        <w:rPr>
          <w:rFonts w:ascii="Times New Roman" w:hAnsi="Times New Roman" w:cs="Times New Roman"/>
          <w:color w:val="231F20"/>
          <w:sz w:val="20"/>
          <w:szCs w:val="20"/>
        </w:rPr>
      </w:pPr>
    </w:p>
    <w:p w14:paraId="781DB302" w14:textId="77234AD8" w:rsidR="003E74BF" w:rsidRDefault="003E74BF" w:rsidP="003E74BF">
      <w:pPr>
        <w:autoSpaceDE w:val="0"/>
        <w:autoSpaceDN w:val="0"/>
        <w:adjustRightInd w:val="0"/>
        <w:rPr>
          <w:rFonts w:ascii="Times New Roman" w:hAnsi="Times New Roman" w:cs="Times New Roman"/>
          <w:color w:val="231F20"/>
          <w:sz w:val="20"/>
          <w:szCs w:val="20"/>
        </w:rPr>
      </w:pPr>
      <w:r>
        <w:rPr>
          <w:rFonts w:ascii="Times New Roman" w:hAnsi="Times New Roman" w:cs="Times New Roman"/>
          <w:color w:val="231F20"/>
          <w:sz w:val="20"/>
          <w:szCs w:val="20"/>
        </w:rPr>
        <w:t>“</w:t>
      </w:r>
      <w:proofErr w:type="gramStart"/>
      <w:r>
        <w:rPr>
          <w:rFonts w:ascii="Times New Roman" w:hAnsi="Times New Roman" w:cs="Times New Roman"/>
          <w:color w:val="231F20"/>
          <w:sz w:val="20"/>
          <w:szCs w:val="20"/>
        </w:rPr>
        <w:t>in</w:t>
      </w:r>
      <w:proofErr w:type="gramEnd"/>
      <w:r>
        <w:rPr>
          <w:rFonts w:ascii="Times New Roman" w:hAnsi="Times New Roman" w:cs="Times New Roman"/>
          <w:color w:val="231F20"/>
          <w:sz w:val="20"/>
          <w:szCs w:val="20"/>
        </w:rPr>
        <w:t xml:space="preserve"> Fig. </w:t>
      </w:r>
      <w:r>
        <w:rPr>
          <w:rFonts w:ascii="Times New Roman" w:hAnsi="Times New Roman" w:cs="Times New Roman"/>
          <w:color w:val="0000FF"/>
          <w:sz w:val="20"/>
          <w:szCs w:val="20"/>
        </w:rPr>
        <w:t>3</w:t>
      </w:r>
      <w:r>
        <w:rPr>
          <w:rFonts w:ascii="Times New Roman" w:hAnsi="Times New Roman" w:cs="Times New Roman"/>
          <w:color w:val="231F20"/>
          <w:sz w:val="20"/>
          <w:szCs w:val="20"/>
        </w:rPr>
        <w:t>, we show, the biological information of some of the known interaction between the</w:t>
      </w:r>
    </w:p>
    <w:p w14:paraId="26694AB7" w14:textId="77777777" w:rsidR="003E74BF" w:rsidRDefault="003E74BF" w:rsidP="003E74BF">
      <w:pPr>
        <w:autoSpaceDE w:val="0"/>
        <w:autoSpaceDN w:val="0"/>
        <w:adjustRightInd w:val="0"/>
        <w:rPr>
          <w:rFonts w:ascii="Times New Roman" w:hAnsi="Times New Roman" w:cs="Times New Roman"/>
          <w:color w:val="231F20"/>
          <w:sz w:val="20"/>
          <w:szCs w:val="20"/>
        </w:rPr>
      </w:pPr>
      <w:r>
        <w:rPr>
          <w:rFonts w:ascii="Times New Roman" w:hAnsi="Times New Roman" w:cs="Times New Roman"/>
          <w:color w:val="231F20"/>
          <w:sz w:val="20"/>
          <w:szCs w:val="20"/>
        </w:rPr>
        <w:t xml:space="preserve">proteins of maternal origin, the </w:t>
      </w:r>
      <w:proofErr w:type="gramStart"/>
      <w:r>
        <w:rPr>
          <w:rFonts w:ascii="Times New Roman" w:hAnsi="Times New Roman" w:cs="Times New Roman"/>
          <w:color w:val="231F20"/>
          <w:sz w:val="20"/>
          <w:szCs w:val="20"/>
        </w:rPr>
        <w:t>mRNAs</w:t>
      </w:r>
      <w:proofErr w:type="gramEnd"/>
      <w:r>
        <w:rPr>
          <w:rFonts w:ascii="Times New Roman" w:hAnsi="Times New Roman" w:cs="Times New Roman"/>
          <w:color w:val="231F20"/>
          <w:sz w:val="20"/>
          <w:szCs w:val="20"/>
        </w:rPr>
        <w:t xml:space="preserve"> and the gap-genes, in Drosophila early development.</w:t>
      </w:r>
    </w:p>
    <w:p w14:paraId="3064130B" w14:textId="77777777" w:rsidR="003E74BF" w:rsidRDefault="003E74BF" w:rsidP="003E74BF">
      <w:pPr>
        <w:autoSpaceDE w:val="0"/>
        <w:autoSpaceDN w:val="0"/>
        <w:adjustRightInd w:val="0"/>
        <w:rPr>
          <w:rFonts w:ascii="Times New Roman" w:hAnsi="Times New Roman" w:cs="Times New Roman"/>
          <w:color w:val="231F20"/>
          <w:sz w:val="20"/>
          <w:szCs w:val="20"/>
        </w:rPr>
      </w:pPr>
      <w:r>
        <w:rPr>
          <w:rFonts w:ascii="Times New Roman" w:hAnsi="Times New Roman" w:cs="Times New Roman"/>
          <w:color w:val="231F20"/>
          <w:sz w:val="20"/>
          <w:szCs w:val="20"/>
        </w:rPr>
        <w:t xml:space="preserve">In the double graph of Fig. </w:t>
      </w:r>
      <w:r>
        <w:rPr>
          <w:rFonts w:ascii="Times New Roman" w:hAnsi="Times New Roman" w:cs="Times New Roman"/>
          <w:color w:val="0000FF"/>
          <w:sz w:val="20"/>
          <w:szCs w:val="20"/>
        </w:rPr>
        <w:t>3</w:t>
      </w:r>
      <w:r>
        <w:rPr>
          <w:rFonts w:ascii="Times New Roman" w:hAnsi="Times New Roman" w:cs="Times New Roman"/>
          <w:color w:val="231F20"/>
          <w:sz w:val="20"/>
          <w:szCs w:val="20"/>
        </w:rPr>
        <w:t>, the green-solid arrows represent activation interactions and the red</w:t>
      </w:r>
    </w:p>
    <w:p w14:paraId="4A58EA25" w14:textId="2E7E3DBC" w:rsidR="003E74BF" w:rsidRDefault="003E74BF" w:rsidP="003E74BF">
      <w:pPr>
        <w:autoSpaceDE w:val="0"/>
        <w:autoSpaceDN w:val="0"/>
        <w:adjustRightInd w:val="0"/>
      </w:pPr>
      <w:r>
        <w:rPr>
          <w:rFonts w:ascii="Times New Roman" w:hAnsi="Times New Roman" w:cs="Times New Roman"/>
          <w:color w:val="231F20"/>
          <w:sz w:val="20"/>
          <w:szCs w:val="20"/>
        </w:rPr>
        <w:t>arrows inhibitory mechanisms.</w:t>
      </w:r>
      <w:r>
        <w:rPr>
          <w:rFonts w:ascii="Times New Roman" w:hAnsi="Times New Roman" w:cs="Times New Roman"/>
          <w:color w:val="231F20"/>
          <w:sz w:val="20"/>
          <w:szCs w:val="20"/>
        </w:rPr>
        <w:t>”</w:t>
      </w:r>
    </w:p>
    <w:sectPr w:rsidR="003E74BF" w:rsidSect="006E4F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C04"/>
    <w:rsid w:val="00093675"/>
    <w:rsid w:val="003E74BF"/>
    <w:rsid w:val="004B0C0F"/>
    <w:rsid w:val="004C1354"/>
    <w:rsid w:val="006E4F0B"/>
    <w:rsid w:val="007620F7"/>
    <w:rsid w:val="00797D63"/>
    <w:rsid w:val="007C63CB"/>
    <w:rsid w:val="00A36C04"/>
    <w:rsid w:val="00BA0B47"/>
    <w:rsid w:val="00BB216E"/>
    <w:rsid w:val="00BD7C52"/>
    <w:rsid w:val="00E83A7E"/>
    <w:rsid w:val="00FE4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9A58D31"/>
  <w15:chartTrackingRefBased/>
  <w15:docId w15:val="{1098CA02-6A5B-7149-9CD6-D133E6A0C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36C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175736">
      <w:bodyDiv w:val="1"/>
      <w:marLeft w:val="0"/>
      <w:marRight w:val="0"/>
      <w:marTop w:val="0"/>
      <w:marBottom w:val="0"/>
      <w:divBdr>
        <w:top w:val="none" w:sz="0" w:space="0" w:color="auto"/>
        <w:left w:val="none" w:sz="0" w:space="0" w:color="auto"/>
        <w:bottom w:val="none" w:sz="0" w:space="0" w:color="auto"/>
        <w:right w:val="none" w:sz="0" w:space="0" w:color="auto"/>
      </w:divBdr>
    </w:div>
    <w:div w:id="293216804">
      <w:bodyDiv w:val="1"/>
      <w:marLeft w:val="0"/>
      <w:marRight w:val="0"/>
      <w:marTop w:val="0"/>
      <w:marBottom w:val="0"/>
      <w:divBdr>
        <w:top w:val="none" w:sz="0" w:space="0" w:color="auto"/>
        <w:left w:val="none" w:sz="0" w:space="0" w:color="auto"/>
        <w:bottom w:val="none" w:sz="0" w:space="0" w:color="auto"/>
        <w:right w:val="none" w:sz="0" w:space="0" w:color="auto"/>
      </w:divBdr>
    </w:div>
    <w:div w:id="1297376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tiff"/><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iff"/><Relationship Id="rId11" Type="http://schemas.openxmlformats.org/officeDocument/2006/relationships/theme" Target="theme/theme1.xml"/><Relationship Id="rId5" Type="http://schemas.openxmlformats.org/officeDocument/2006/relationships/image" Target="media/image2.tiff"/><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4</Pages>
  <Words>604</Words>
  <Characters>3447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Podgorski</dc:creator>
  <cp:keywords/>
  <dc:description/>
  <cp:lastModifiedBy>Greg Podgorski</cp:lastModifiedBy>
  <cp:revision>4</cp:revision>
  <dcterms:created xsi:type="dcterms:W3CDTF">2021-10-25T19:54:00Z</dcterms:created>
  <dcterms:modified xsi:type="dcterms:W3CDTF">2021-10-25T21:10:00Z</dcterms:modified>
</cp:coreProperties>
</file>